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576" w:lineRule="exact"/>
        <w:jc w:val="left"/>
        <w:rPr>
          <w:rFonts w:ascii="黑体" w:hAnsi="黑体" w:eastAsia="黑体"/>
          <w:color w:val="000000"/>
          <w:kern w:val="0"/>
          <w:szCs w:val="32"/>
        </w:rPr>
      </w:pPr>
      <w:r>
        <w:rPr>
          <w:rFonts w:hint="eastAsia" w:ascii="黑体" w:hAnsi="黑体" w:eastAsia="黑体"/>
          <w:color w:val="000000"/>
          <w:kern w:val="0"/>
          <w:szCs w:val="32"/>
        </w:rPr>
        <w:t>附件</w:t>
      </w:r>
    </w:p>
    <w:p>
      <w:pPr>
        <w:adjustRightInd w:val="0"/>
        <w:snapToGrid w:val="0"/>
        <w:spacing w:line="576" w:lineRule="exact"/>
        <w:rPr>
          <w:rFonts w:ascii="黑体" w:hAnsi="黑体" w:eastAsia="黑体"/>
          <w:color w:val="000000"/>
          <w:szCs w:val="32"/>
        </w:rPr>
      </w:pPr>
    </w:p>
    <w:p>
      <w:pPr>
        <w:adjustRightInd w:val="0"/>
        <w:snapToGrid w:val="0"/>
        <w:spacing w:line="576" w:lineRule="exact"/>
        <w:jc w:val="center"/>
        <w:rPr>
          <w:rFonts w:hint="eastAsia" w:eastAsia="方正小标宋简体"/>
          <w:color w:val="000000"/>
          <w:kern w:val="0"/>
          <w:sz w:val="44"/>
          <w:szCs w:val="44"/>
        </w:rPr>
      </w:pPr>
      <w:r>
        <w:rPr>
          <w:rFonts w:hint="eastAsia" w:eastAsia="方正小标宋简体"/>
          <w:color w:val="000000"/>
          <w:kern w:val="0"/>
          <w:sz w:val="44"/>
          <w:szCs w:val="44"/>
        </w:rPr>
        <w:t>吉林省多用户绿电直连项目开发建设</w:t>
      </w:r>
    </w:p>
    <w:p>
      <w:pPr>
        <w:adjustRightInd w:val="0"/>
        <w:snapToGrid w:val="0"/>
        <w:spacing w:line="576" w:lineRule="exact"/>
        <w:jc w:val="center"/>
        <w:rPr>
          <w:rFonts w:hint="eastAsia" w:eastAsia="方正小标宋简体"/>
          <w:color w:val="000000"/>
          <w:kern w:val="0"/>
          <w:sz w:val="44"/>
          <w:szCs w:val="44"/>
        </w:rPr>
      </w:pPr>
      <w:r>
        <w:rPr>
          <w:rFonts w:hint="eastAsia" w:eastAsia="方正小标宋简体"/>
          <w:color w:val="000000"/>
          <w:kern w:val="0"/>
          <w:sz w:val="44"/>
          <w:szCs w:val="44"/>
        </w:rPr>
        <w:t>实施方案（试行）</w:t>
      </w:r>
      <w:r>
        <w:rPr>
          <w:rFonts w:hint="default" w:eastAsia="方正小标宋简体"/>
          <w:color w:val="000000"/>
          <w:kern w:val="0"/>
          <w:sz w:val="44"/>
          <w:szCs w:val="44"/>
        </w:rPr>
        <w:t>（征求意见稿）</w:t>
      </w:r>
    </w:p>
    <w:p>
      <w:pPr>
        <w:adjustRightInd w:val="0"/>
        <w:snapToGrid w:val="0"/>
        <w:spacing w:line="576" w:lineRule="exact"/>
        <w:ind w:firstLine="640" w:firstLineChars="200"/>
        <w:rPr>
          <w:color w:val="000000"/>
          <w:kern w:val="0"/>
          <w:szCs w:val="32"/>
        </w:rPr>
      </w:pPr>
      <w:bookmarkStart w:id="6" w:name="_GoBack"/>
      <w:bookmarkEnd w:id="6"/>
    </w:p>
    <w:p>
      <w:pPr>
        <w:adjustRightInd w:val="0"/>
        <w:snapToGrid w:val="0"/>
        <w:spacing w:line="576" w:lineRule="exact"/>
        <w:ind w:firstLine="640" w:firstLineChars="200"/>
        <w:rPr>
          <w:color w:val="000000"/>
          <w:kern w:val="0"/>
          <w:szCs w:val="32"/>
        </w:rPr>
      </w:pPr>
      <w:r>
        <w:rPr>
          <w:color w:val="000000"/>
          <w:kern w:val="0"/>
          <w:szCs w:val="32"/>
        </w:rPr>
        <w:t>为</w:t>
      </w:r>
      <w:r>
        <w:rPr>
          <w:rFonts w:hint="eastAsia"/>
          <w:color w:val="000000"/>
          <w:kern w:val="0"/>
          <w:szCs w:val="32"/>
        </w:rPr>
        <w:t>进一步明确我省多用户绿电直连项目开发建设管理相关要求，</w:t>
      </w:r>
      <w:r>
        <w:rPr>
          <w:color w:val="000000"/>
          <w:kern w:val="0"/>
          <w:szCs w:val="32"/>
        </w:rPr>
        <w:t>促进新能源就近就地消纳，更好满足企业绿电用能需求，根据国家发展改革委、国家能源局《</w:t>
      </w:r>
      <w:r>
        <w:rPr>
          <w:rFonts w:hint="eastAsia"/>
          <w:color w:val="000000"/>
          <w:kern w:val="0"/>
          <w:szCs w:val="32"/>
        </w:rPr>
        <w:t>关于有序推动多用户绿电直连发展有关事项的通知》（</w:t>
      </w:r>
      <w:bookmarkStart w:id="0" w:name="OLE_LINK14"/>
      <w:r>
        <w:rPr>
          <w:rFonts w:hint="eastAsia"/>
          <w:color w:val="000000"/>
          <w:kern w:val="0"/>
          <w:szCs w:val="32"/>
        </w:rPr>
        <w:t>发改能源〔2026〕688号</w:t>
      </w:r>
      <w:bookmarkEnd w:id="0"/>
      <w:r>
        <w:rPr>
          <w:rFonts w:hint="eastAsia"/>
          <w:color w:val="000000"/>
          <w:kern w:val="0"/>
          <w:szCs w:val="32"/>
        </w:rPr>
        <w:t>）要求，在《吉林省绿电直连项目开发建设实施方案（试行）》（吉能电力联〔2026〕</w:t>
      </w:r>
      <w:r>
        <w:rPr>
          <w:color w:val="000000"/>
          <w:kern w:val="0"/>
          <w:szCs w:val="32"/>
        </w:rPr>
        <w:t>32</w:t>
      </w:r>
      <w:r>
        <w:rPr>
          <w:rFonts w:hint="eastAsia"/>
          <w:color w:val="000000"/>
          <w:kern w:val="0"/>
          <w:szCs w:val="32"/>
        </w:rPr>
        <w:t>号）基础上，</w:t>
      </w:r>
      <w:r>
        <w:rPr>
          <w:color w:val="000000"/>
          <w:kern w:val="0"/>
          <w:szCs w:val="32"/>
        </w:rPr>
        <w:t>结合我省实际</w:t>
      </w:r>
      <w:r>
        <w:rPr>
          <w:rFonts w:hint="eastAsia"/>
          <w:color w:val="000000"/>
          <w:kern w:val="0"/>
          <w:szCs w:val="32"/>
        </w:rPr>
        <w:t>情况</w:t>
      </w:r>
      <w:r>
        <w:rPr>
          <w:color w:val="000000"/>
          <w:kern w:val="0"/>
          <w:szCs w:val="32"/>
        </w:rPr>
        <w:t>，制定本实施方案。</w:t>
      </w:r>
    </w:p>
    <w:p>
      <w:pPr>
        <w:adjustRightInd w:val="0"/>
        <w:snapToGrid w:val="0"/>
        <w:spacing w:line="576" w:lineRule="exact"/>
        <w:ind w:firstLine="640" w:firstLineChars="200"/>
        <w:outlineLvl w:val="0"/>
        <w:rPr>
          <w:rFonts w:eastAsia="黑体"/>
          <w:b/>
          <w:bCs/>
          <w:color w:val="000000"/>
          <w:kern w:val="0"/>
          <w:szCs w:val="32"/>
        </w:rPr>
      </w:pPr>
      <w:r>
        <w:rPr>
          <w:rFonts w:eastAsia="黑体"/>
          <w:color w:val="000000"/>
          <w:kern w:val="0"/>
          <w:szCs w:val="32"/>
        </w:rPr>
        <w:t>一、总体要求</w:t>
      </w:r>
    </w:p>
    <w:p>
      <w:pPr>
        <w:adjustRightInd w:val="0"/>
        <w:snapToGrid w:val="0"/>
        <w:spacing w:line="576" w:lineRule="exact"/>
        <w:ind w:firstLine="640" w:firstLineChars="200"/>
        <w:rPr>
          <w:color w:val="000000"/>
          <w:kern w:val="0"/>
          <w:szCs w:val="32"/>
        </w:rPr>
      </w:pPr>
      <w:r>
        <w:rPr>
          <w:color w:val="000000"/>
          <w:kern w:val="0"/>
          <w:szCs w:val="32"/>
        </w:rPr>
        <w:t>坚持以满足企业绿色用能需求，提升新能源就近就地消纳水平为目标，按照安全优先、绿色友好、权责对等、源荷匹配原则，科学有序推进项目开展</w:t>
      </w:r>
      <w:r>
        <w:rPr>
          <w:rFonts w:hint="eastAsia"/>
          <w:color w:val="000000"/>
          <w:kern w:val="0"/>
          <w:szCs w:val="32"/>
        </w:rPr>
        <w:t>多用户</w:t>
      </w:r>
      <w:r>
        <w:rPr>
          <w:color w:val="000000"/>
          <w:kern w:val="0"/>
          <w:szCs w:val="32"/>
        </w:rPr>
        <w:t>绿电直连工作</w:t>
      </w:r>
      <w:r>
        <w:rPr>
          <w:rFonts w:hint="eastAsia"/>
          <w:color w:val="000000"/>
          <w:kern w:val="0"/>
          <w:szCs w:val="32"/>
        </w:rPr>
        <w:t>，项目应满足国家产业政策要求，严禁企业通过绿电直连开展违法违规活动</w:t>
      </w:r>
      <w:r>
        <w:rPr>
          <w:color w:val="000000"/>
          <w:kern w:val="0"/>
          <w:szCs w:val="32"/>
        </w:rPr>
        <w:t>。</w:t>
      </w:r>
    </w:p>
    <w:p>
      <w:pPr>
        <w:adjustRightInd w:val="0"/>
        <w:snapToGrid w:val="0"/>
        <w:spacing w:line="576" w:lineRule="exact"/>
        <w:ind w:firstLine="640" w:firstLineChars="200"/>
        <w:rPr>
          <w:color w:val="000000"/>
          <w:kern w:val="0"/>
          <w:szCs w:val="32"/>
        </w:rPr>
      </w:pPr>
      <w:r>
        <w:rPr>
          <w:rFonts w:hint="eastAsia"/>
          <w:color w:val="000000"/>
          <w:kern w:val="0"/>
          <w:szCs w:val="32"/>
        </w:rPr>
        <w:t>本实施方案适用于吉林省内多用户绿电直连项目开发建设。多用户绿电直连是指风电、太阳能发电、生物质发电等新能源发电不直接接入公共电网，通过专用线路和变电设施向多个用户供给绿电，实现供给电量清晰溯源和分配的模式。其中，多用户是指多个不同法人实体，不包括居民和农业用户。</w:t>
      </w:r>
    </w:p>
    <w:p>
      <w:pPr>
        <w:adjustRightInd w:val="0"/>
        <w:snapToGrid w:val="0"/>
        <w:spacing w:line="576" w:lineRule="exact"/>
        <w:ind w:firstLine="640" w:firstLineChars="200"/>
        <w:rPr>
          <w:color w:val="000000"/>
          <w:kern w:val="0"/>
          <w:szCs w:val="32"/>
        </w:rPr>
      </w:pPr>
      <w:r>
        <w:rPr>
          <w:rFonts w:hint="eastAsia"/>
          <w:color w:val="000000"/>
          <w:kern w:val="0"/>
          <w:szCs w:val="32"/>
        </w:rPr>
        <w:t>多用户绿电直连项目（以下简称项目）按照是否接入公共电网分为离网型和并网型两类，离网型项目应具备完全独立运行条件</w:t>
      </w:r>
      <w:r>
        <w:rPr>
          <w:rFonts w:hint="eastAsia"/>
          <w:color w:val="000000"/>
          <w:szCs w:val="32"/>
        </w:rPr>
        <w:t>，与公共电网无电气连接</w:t>
      </w:r>
      <w:r>
        <w:rPr>
          <w:rFonts w:hint="eastAsia"/>
          <w:color w:val="000000"/>
          <w:kern w:val="0"/>
          <w:szCs w:val="32"/>
        </w:rPr>
        <w:t>。并网型项目作为一个整体接入公共电网，以产权分界点与公共电网形成清晰的物理界面与责任界面，新能源应接入项目的内部。直连电源为分布式光伏的，按照国家有关政策执行。</w:t>
      </w:r>
    </w:p>
    <w:p>
      <w:pPr>
        <w:adjustRightInd w:val="0"/>
        <w:snapToGrid w:val="0"/>
        <w:spacing w:line="576" w:lineRule="exact"/>
        <w:ind w:firstLine="640" w:firstLineChars="200"/>
        <w:outlineLvl w:val="0"/>
        <w:rPr>
          <w:rFonts w:eastAsia="黑体"/>
          <w:color w:val="000000"/>
          <w:kern w:val="0"/>
          <w:szCs w:val="32"/>
        </w:rPr>
      </w:pPr>
      <w:r>
        <w:rPr>
          <w:rFonts w:eastAsia="黑体"/>
          <w:color w:val="000000"/>
          <w:kern w:val="0"/>
          <w:szCs w:val="32"/>
        </w:rPr>
        <w:t>二、</w:t>
      </w:r>
      <w:r>
        <w:rPr>
          <w:rFonts w:hint="eastAsia" w:eastAsia="黑体"/>
          <w:color w:val="000000"/>
          <w:kern w:val="0"/>
          <w:szCs w:val="32"/>
        </w:rPr>
        <w:t>适用范围</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w:t>
      </w:r>
      <w:r>
        <w:rPr>
          <w:rFonts w:ascii="楷体_GB2312" w:eastAsia="楷体_GB2312"/>
          <w:b/>
          <w:bCs/>
          <w:color w:val="000000"/>
          <w:kern w:val="0"/>
          <w:szCs w:val="32"/>
        </w:rPr>
        <w:t>一</w:t>
      </w:r>
      <w:r>
        <w:rPr>
          <w:rFonts w:hint="eastAsia" w:ascii="楷体_GB2312" w:eastAsia="楷体_GB2312"/>
          <w:b/>
          <w:bCs/>
          <w:color w:val="000000"/>
          <w:kern w:val="0"/>
          <w:szCs w:val="32"/>
        </w:rPr>
        <w:t>）</w:t>
      </w:r>
      <w:r>
        <w:rPr>
          <w:rFonts w:ascii="楷体_GB2312" w:eastAsia="楷体_GB2312"/>
          <w:b/>
          <w:bCs/>
          <w:color w:val="000000"/>
          <w:kern w:val="0"/>
          <w:szCs w:val="32"/>
        </w:rPr>
        <w:t>负荷类型</w:t>
      </w:r>
    </w:p>
    <w:p>
      <w:pPr>
        <w:adjustRightInd w:val="0"/>
        <w:snapToGrid w:val="0"/>
        <w:spacing w:line="576" w:lineRule="exact"/>
        <w:ind w:firstLine="640" w:firstLineChars="200"/>
        <w:rPr>
          <w:color w:val="000000"/>
          <w:kern w:val="0"/>
          <w:szCs w:val="32"/>
        </w:rPr>
      </w:pPr>
      <w:bookmarkStart w:id="1" w:name="_Hlk239759595"/>
      <w:r>
        <w:rPr>
          <w:color w:val="000000"/>
          <w:kern w:val="0"/>
          <w:szCs w:val="32"/>
        </w:rPr>
        <w:t>一是新增负荷</w:t>
      </w:r>
      <w:r>
        <w:rPr>
          <w:rFonts w:hint="eastAsia"/>
          <w:color w:val="000000"/>
          <w:kern w:val="0"/>
          <w:szCs w:val="32"/>
        </w:rPr>
        <w:t>项目均</w:t>
      </w:r>
      <w:r>
        <w:rPr>
          <w:color w:val="000000"/>
          <w:kern w:val="0"/>
          <w:szCs w:val="32"/>
        </w:rPr>
        <w:t>可</w:t>
      </w:r>
      <w:r>
        <w:rPr>
          <w:rFonts w:hint="eastAsia"/>
          <w:color w:val="000000"/>
          <w:kern w:val="0"/>
          <w:szCs w:val="32"/>
        </w:rPr>
        <w:t>开展多用户绿电直连</w:t>
      </w:r>
      <w:r>
        <w:rPr>
          <w:color w:val="000000"/>
          <w:kern w:val="0"/>
          <w:szCs w:val="32"/>
        </w:rPr>
        <w:t>，重点支持</w:t>
      </w:r>
      <w:r>
        <w:rPr>
          <w:rFonts w:hint="eastAsia"/>
          <w:color w:val="000000"/>
          <w:kern w:val="0"/>
          <w:szCs w:val="32"/>
        </w:rPr>
        <w:t>绿色氢氨醇（</w:t>
      </w:r>
      <w:r>
        <w:rPr>
          <w:rFonts w:hint="eastAsia" w:ascii="楷体_GB2312" w:eastAsia="楷体_GB2312"/>
          <w:color w:val="000000"/>
          <w:kern w:val="0"/>
          <w:szCs w:val="32"/>
        </w:rPr>
        <w:t>绿氢、绿氢制绿氨、绿氢制绿色甲醇、绿氢制可持续航空燃料等</w:t>
      </w:r>
      <w:r>
        <w:rPr>
          <w:rFonts w:hint="eastAsia"/>
          <w:color w:val="000000"/>
          <w:kern w:val="0"/>
          <w:szCs w:val="32"/>
        </w:rPr>
        <w:t>）、</w:t>
      </w:r>
      <w:r>
        <w:rPr>
          <w:color w:val="000000"/>
          <w:kern w:val="0"/>
          <w:szCs w:val="32"/>
        </w:rPr>
        <w:t>钢铁</w:t>
      </w:r>
      <w:r>
        <w:rPr>
          <w:rFonts w:hint="eastAsia"/>
          <w:color w:val="000000"/>
          <w:kern w:val="0"/>
          <w:szCs w:val="32"/>
        </w:rPr>
        <w:t>冶金</w:t>
      </w:r>
      <w:r>
        <w:rPr>
          <w:color w:val="000000"/>
          <w:kern w:val="0"/>
          <w:szCs w:val="32"/>
        </w:rPr>
        <w:t>、</w:t>
      </w:r>
      <w:r>
        <w:rPr>
          <w:rFonts w:hint="eastAsia"/>
          <w:color w:val="000000"/>
          <w:kern w:val="0"/>
          <w:szCs w:val="32"/>
        </w:rPr>
        <w:t>算力（</w:t>
      </w:r>
      <w:r>
        <w:rPr>
          <w:color w:val="000000"/>
          <w:kern w:val="0"/>
          <w:szCs w:val="32"/>
        </w:rPr>
        <w:t>数据</w:t>
      </w:r>
      <w:r>
        <w:rPr>
          <w:rFonts w:hint="eastAsia"/>
          <w:color w:val="000000"/>
          <w:kern w:val="0"/>
          <w:szCs w:val="32"/>
        </w:rPr>
        <w:t>）</w:t>
      </w:r>
      <w:r>
        <w:rPr>
          <w:color w:val="000000"/>
          <w:kern w:val="0"/>
          <w:szCs w:val="32"/>
        </w:rPr>
        <w:t>中心、</w:t>
      </w:r>
      <w:r>
        <w:rPr>
          <w:rFonts w:hint="eastAsia"/>
          <w:color w:val="000000"/>
          <w:kern w:val="0"/>
          <w:szCs w:val="32"/>
        </w:rPr>
        <w:t>汽车</w:t>
      </w:r>
      <w:r>
        <w:rPr>
          <w:color w:val="000000"/>
          <w:kern w:val="0"/>
          <w:szCs w:val="32"/>
        </w:rPr>
        <w:t>制造等行业。</w:t>
      </w:r>
      <w:r>
        <w:rPr>
          <w:rFonts w:hint="eastAsia"/>
          <w:color w:val="000000"/>
          <w:kern w:val="0"/>
          <w:szCs w:val="32"/>
        </w:rPr>
        <w:t>未向电网企业报装的用电项目（</w:t>
      </w:r>
      <w:r>
        <w:rPr>
          <w:rFonts w:hint="eastAsia" w:ascii="楷体_GB2312" w:eastAsia="楷体_GB2312"/>
          <w:color w:val="000000"/>
          <w:kern w:val="0"/>
          <w:szCs w:val="32"/>
        </w:rPr>
        <w:t>含存量负荷的扩建部分</w:t>
      </w:r>
      <w:r>
        <w:rPr>
          <w:rFonts w:hint="eastAsia"/>
          <w:color w:val="000000"/>
          <w:kern w:val="0"/>
          <w:szCs w:val="32"/>
        </w:rPr>
        <w:t>）、已报装但配套电网工程尚未开工的项目、离网型存量项目均视为新增负荷。</w:t>
      </w:r>
      <w:r>
        <w:rPr>
          <w:color w:val="000000"/>
          <w:kern w:val="0"/>
          <w:szCs w:val="32"/>
        </w:rPr>
        <w:t>新增负荷</w:t>
      </w:r>
      <w:r>
        <w:rPr>
          <w:rFonts w:hint="eastAsia"/>
          <w:color w:val="000000"/>
          <w:kern w:val="0"/>
          <w:szCs w:val="32"/>
        </w:rPr>
        <w:t>项目（</w:t>
      </w:r>
      <w:r>
        <w:rPr>
          <w:rFonts w:hint="eastAsia" w:ascii="楷体_GB2312" w:eastAsia="楷体_GB2312"/>
          <w:color w:val="000000"/>
          <w:kern w:val="0"/>
          <w:szCs w:val="32"/>
        </w:rPr>
        <w:t>含存量负荷的扩建部分</w:t>
      </w:r>
      <w:r>
        <w:rPr>
          <w:rFonts w:hint="eastAsia"/>
          <w:color w:val="000000"/>
          <w:kern w:val="0"/>
          <w:szCs w:val="32"/>
        </w:rPr>
        <w:t>）</w:t>
      </w:r>
      <w:r>
        <w:rPr>
          <w:color w:val="000000"/>
          <w:kern w:val="0"/>
          <w:szCs w:val="32"/>
        </w:rPr>
        <w:t>与存量负荷</w:t>
      </w:r>
      <w:r>
        <w:rPr>
          <w:rFonts w:hint="eastAsia"/>
          <w:color w:val="000000"/>
          <w:kern w:val="0"/>
          <w:szCs w:val="32"/>
        </w:rPr>
        <w:t>项目</w:t>
      </w:r>
      <w:r>
        <w:rPr>
          <w:color w:val="000000"/>
          <w:kern w:val="0"/>
          <w:szCs w:val="32"/>
        </w:rPr>
        <w:t>原则上不产生电气</w:t>
      </w:r>
      <w:r>
        <w:rPr>
          <w:rFonts w:hint="eastAsia"/>
          <w:color w:val="000000"/>
          <w:kern w:val="0"/>
          <w:szCs w:val="32"/>
        </w:rPr>
        <w:t>连</w:t>
      </w:r>
      <w:r>
        <w:rPr>
          <w:color w:val="000000"/>
          <w:kern w:val="0"/>
          <w:szCs w:val="32"/>
        </w:rPr>
        <w:t>接。</w:t>
      </w:r>
    </w:p>
    <w:p>
      <w:pPr>
        <w:adjustRightInd w:val="0"/>
        <w:snapToGrid w:val="0"/>
        <w:spacing w:line="576" w:lineRule="exact"/>
        <w:ind w:firstLine="640" w:firstLineChars="200"/>
        <w:rPr>
          <w:color w:val="000000"/>
          <w:kern w:val="0"/>
          <w:szCs w:val="32"/>
        </w:rPr>
      </w:pPr>
      <w:r>
        <w:rPr>
          <w:color w:val="000000"/>
          <w:kern w:val="0"/>
          <w:szCs w:val="32"/>
        </w:rPr>
        <w:t>二是</w:t>
      </w:r>
      <w:r>
        <w:rPr>
          <w:rFonts w:hint="eastAsia"/>
          <w:color w:val="000000"/>
          <w:kern w:val="0"/>
          <w:szCs w:val="32"/>
        </w:rPr>
        <w:t>存量单用户绿电直连项目可吸纳满足要求的其他负荷开展多用户绿电直连。</w:t>
      </w:r>
    </w:p>
    <w:p>
      <w:pPr>
        <w:adjustRightInd w:val="0"/>
        <w:snapToGrid w:val="0"/>
        <w:spacing w:line="576" w:lineRule="exact"/>
        <w:ind w:firstLine="640" w:firstLineChars="200"/>
        <w:rPr>
          <w:color w:val="000000"/>
          <w:kern w:val="0"/>
          <w:szCs w:val="32"/>
        </w:rPr>
      </w:pPr>
      <w:r>
        <w:rPr>
          <w:rFonts w:hint="eastAsia"/>
          <w:color w:val="000000"/>
          <w:kern w:val="0"/>
          <w:szCs w:val="32"/>
        </w:rPr>
        <w:t>三是有绿色电力消费比例要求的存量负荷项目（电解铝、钢铁、水泥、多晶硅、数据中心等）可吸纳满足要求的其他负荷开展多用户绿电直连。</w:t>
      </w:r>
    </w:p>
    <w:p>
      <w:pPr>
        <w:adjustRightInd w:val="0"/>
        <w:snapToGrid w:val="0"/>
        <w:spacing w:line="576" w:lineRule="exact"/>
        <w:ind w:firstLine="640" w:firstLineChars="200"/>
        <w:rPr>
          <w:color w:val="000000"/>
          <w:kern w:val="0"/>
          <w:szCs w:val="32"/>
        </w:rPr>
      </w:pPr>
      <w:r>
        <w:rPr>
          <w:rFonts w:hint="eastAsia"/>
          <w:color w:val="000000"/>
          <w:kern w:val="0"/>
          <w:szCs w:val="32"/>
        </w:rPr>
        <w:t>四是经省工信厅、省生态环境厅确认的重点用能和碳排放工业企业的存量负荷项目可吸纳满足要求的其他负荷开展多用户绿电直连。</w:t>
      </w:r>
    </w:p>
    <w:p>
      <w:pPr>
        <w:adjustRightInd w:val="0"/>
        <w:snapToGrid w:val="0"/>
        <w:spacing w:line="576" w:lineRule="exact"/>
        <w:ind w:firstLine="640" w:firstLineChars="200"/>
        <w:rPr>
          <w:color w:val="000000"/>
          <w:kern w:val="0"/>
          <w:szCs w:val="32"/>
        </w:rPr>
      </w:pPr>
      <w:r>
        <w:rPr>
          <w:rFonts w:hint="eastAsia"/>
          <w:color w:val="000000"/>
          <w:kern w:val="0"/>
          <w:szCs w:val="32"/>
        </w:rPr>
        <w:t>五是有降碳刚性需求的出口外向型及其上下游存量负荷项目可吸纳满足要求的其他负荷开展多用户绿电直连。</w:t>
      </w:r>
    </w:p>
    <w:p>
      <w:pPr>
        <w:adjustRightInd w:val="0"/>
        <w:snapToGrid w:val="0"/>
        <w:spacing w:line="576" w:lineRule="exact"/>
        <w:ind w:firstLine="640" w:firstLineChars="200"/>
        <w:rPr>
          <w:color w:val="000000"/>
          <w:kern w:val="0"/>
          <w:szCs w:val="32"/>
        </w:rPr>
      </w:pPr>
      <w:r>
        <w:rPr>
          <w:rFonts w:hint="eastAsia"/>
          <w:color w:val="000000"/>
          <w:kern w:val="0"/>
          <w:szCs w:val="32"/>
        </w:rPr>
        <w:t>六是工业园区、零碳园区、增量配电网园区内的全部或部分负荷均可开展多用户绿电直连。</w:t>
      </w:r>
    </w:p>
    <w:bookmarkEnd w:id="1"/>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w:t>
      </w:r>
      <w:r>
        <w:rPr>
          <w:rFonts w:ascii="楷体_GB2312" w:eastAsia="楷体_GB2312"/>
          <w:b/>
          <w:bCs/>
          <w:color w:val="000000"/>
          <w:kern w:val="0"/>
          <w:szCs w:val="32"/>
        </w:rPr>
        <w:t>二</w:t>
      </w:r>
      <w:r>
        <w:rPr>
          <w:rFonts w:hint="eastAsia" w:ascii="楷体_GB2312" w:eastAsia="楷体_GB2312"/>
          <w:b/>
          <w:bCs/>
          <w:color w:val="000000"/>
          <w:kern w:val="0"/>
          <w:szCs w:val="32"/>
        </w:rPr>
        <w:t>）</w:t>
      </w:r>
      <w:r>
        <w:rPr>
          <w:rFonts w:ascii="楷体_GB2312" w:eastAsia="楷体_GB2312"/>
          <w:b/>
          <w:bCs/>
          <w:color w:val="000000"/>
          <w:kern w:val="0"/>
          <w:szCs w:val="32"/>
        </w:rPr>
        <w:t>电源类型</w:t>
      </w:r>
    </w:p>
    <w:p>
      <w:pPr>
        <w:adjustRightInd w:val="0"/>
        <w:snapToGrid w:val="0"/>
        <w:spacing w:line="576" w:lineRule="exact"/>
        <w:ind w:firstLine="640" w:firstLineChars="200"/>
        <w:rPr>
          <w:color w:val="000000"/>
          <w:kern w:val="0"/>
          <w:szCs w:val="32"/>
        </w:rPr>
      </w:pPr>
      <w:r>
        <w:rPr>
          <w:color w:val="000000"/>
          <w:kern w:val="0"/>
          <w:szCs w:val="32"/>
        </w:rPr>
        <w:t>一是可在负荷项目周边新建</w:t>
      </w:r>
      <w:r>
        <w:rPr>
          <w:rFonts w:hint="eastAsia"/>
          <w:color w:val="000000"/>
          <w:kern w:val="0"/>
          <w:szCs w:val="32"/>
        </w:rPr>
        <w:t>集中式</w:t>
      </w:r>
      <w:r>
        <w:rPr>
          <w:color w:val="000000"/>
          <w:kern w:val="0"/>
          <w:szCs w:val="32"/>
        </w:rPr>
        <w:t>风电、太阳能发电、生物质发电等新能源</w:t>
      </w:r>
      <w:r>
        <w:rPr>
          <w:rFonts w:hint="eastAsia"/>
          <w:color w:val="000000"/>
          <w:kern w:val="0"/>
          <w:szCs w:val="32"/>
        </w:rPr>
        <w:t>电源项目</w:t>
      </w:r>
      <w:r>
        <w:rPr>
          <w:color w:val="000000"/>
          <w:kern w:val="0"/>
          <w:szCs w:val="32"/>
        </w:rPr>
        <w:t>开展绿电直连。</w:t>
      </w:r>
      <w:r>
        <w:rPr>
          <w:rFonts w:hint="eastAsia"/>
          <w:color w:val="000000"/>
          <w:kern w:val="0"/>
          <w:szCs w:val="32"/>
        </w:rPr>
        <w:t>可由多个新能源场站汇集后以单一线路接入负荷汇集站。</w:t>
      </w:r>
    </w:p>
    <w:p>
      <w:pPr>
        <w:adjustRightInd w:val="0"/>
        <w:snapToGrid w:val="0"/>
        <w:spacing w:line="576" w:lineRule="exact"/>
        <w:ind w:firstLine="640" w:firstLineChars="200"/>
        <w:rPr>
          <w:color w:val="000000"/>
          <w:kern w:val="0"/>
          <w:szCs w:val="32"/>
        </w:rPr>
      </w:pPr>
      <w:r>
        <w:rPr>
          <w:rFonts w:hint="eastAsia"/>
          <w:color w:val="000000"/>
          <w:kern w:val="0"/>
          <w:szCs w:val="32"/>
        </w:rPr>
        <w:t>二是分布式光伏的可通过集中汇流方式参与多用户绿电直连。</w:t>
      </w:r>
    </w:p>
    <w:p>
      <w:pPr>
        <w:adjustRightInd w:val="0"/>
        <w:snapToGrid w:val="0"/>
        <w:spacing w:line="576" w:lineRule="exact"/>
        <w:ind w:firstLine="640" w:firstLineChars="200"/>
        <w:rPr>
          <w:color w:val="000000"/>
          <w:kern w:val="0"/>
          <w:szCs w:val="32"/>
        </w:rPr>
      </w:pPr>
      <w:r>
        <w:rPr>
          <w:rFonts w:hint="eastAsia"/>
          <w:color w:val="000000"/>
          <w:kern w:val="0"/>
          <w:szCs w:val="32"/>
        </w:rPr>
        <w:t>三</w:t>
      </w:r>
      <w:r>
        <w:rPr>
          <w:color w:val="000000"/>
          <w:kern w:val="0"/>
          <w:szCs w:val="32"/>
        </w:rPr>
        <w:t>是支持尚未开展电网接入工程建设或因新能源消纳受限等原因无法并网的新能源项目，</w:t>
      </w:r>
      <w:r>
        <w:rPr>
          <w:rFonts w:hint="eastAsia"/>
          <w:color w:val="000000"/>
          <w:kern w:val="0"/>
          <w:szCs w:val="32"/>
        </w:rPr>
        <w:t>在重新履行接入系统设计方案变更等相关手续后，可作为绿电直连项目配套新能源进行申报。</w:t>
      </w:r>
    </w:p>
    <w:p>
      <w:pPr>
        <w:adjustRightInd w:val="0"/>
        <w:snapToGrid w:val="0"/>
        <w:spacing w:line="576" w:lineRule="exact"/>
        <w:ind w:firstLine="640" w:firstLineChars="200"/>
        <w:rPr>
          <w:color w:val="000000"/>
          <w:kern w:val="0"/>
          <w:szCs w:val="32"/>
        </w:rPr>
      </w:pPr>
      <w:r>
        <w:rPr>
          <w:rFonts w:hint="eastAsia"/>
          <w:color w:val="000000"/>
          <w:kern w:val="0"/>
          <w:szCs w:val="32"/>
        </w:rPr>
        <w:t>四是已并网投运的新能源项目，在配套接网工程处置方案、切改方案等方面与电网企业达成一致意见，在重新履行接入系统设计方案变更等相关手续后，可作为绿电直连项目配套新能源进行申报。</w:t>
      </w:r>
    </w:p>
    <w:p>
      <w:pPr>
        <w:adjustRightInd w:val="0"/>
        <w:snapToGrid w:val="0"/>
        <w:spacing w:line="576" w:lineRule="exact"/>
        <w:ind w:firstLine="640" w:firstLineChars="200"/>
        <w:outlineLvl w:val="0"/>
        <w:rPr>
          <w:rFonts w:ascii="宋体" w:hAnsi="宋体" w:eastAsia="宋体" w:cs="宋体"/>
          <w:color w:val="000000"/>
          <w:kern w:val="0"/>
          <w:sz w:val="24"/>
        </w:rPr>
      </w:pPr>
      <w:r>
        <w:rPr>
          <w:rFonts w:eastAsia="黑体"/>
          <w:color w:val="000000"/>
          <w:kern w:val="0"/>
          <w:szCs w:val="32"/>
        </w:rPr>
        <w:t>三、项目管理</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w:t>
      </w:r>
      <w:r>
        <w:rPr>
          <w:rFonts w:hint="eastAsia" w:ascii="楷体_GB2312" w:eastAsia="楷体_GB2312"/>
          <w:b/>
          <w:bCs/>
          <w:color w:val="000000"/>
          <w:kern w:val="0"/>
          <w:szCs w:val="32"/>
        </w:rPr>
        <w:t>一</w:t>
      </w:r>
      <w:r>
        <w:rPr>
          <w:rFonts w:ascii="楷体_GB2312" w:eastAsia="楷体_GB2312"/>
          <w:b/>
          <w:bCs/>
          <w:color w:val="000000"/>
          <w:kern w:val="0"/>
          <w:szCs w:val="32"/>
        </w:rPr>
        <w:t>）源荷匹配</w:t>
      </w:r>
    </w:p>
    <w:p>
      <w:pPr>
        <w:adjustRightInd w:val="0"/>
        <w:snapToGrid w:val="0"/>
        <w:spacing w:line="576" w:lineRule="exact"/>
        <w:ind w:firstLine="640" w:firstLineChars="200"/>
        <w:rPr>
          <w:color w:val="000000"/>
          <w:szCs w:val="32"/>
        </w:rPr>
      </w:pPr>
      <w:r>
        <w:rPr>
          <w:rFonts w:hint="eastAsia"/>
          <w:color w:val="000000"/>
          <w:szCs w:val="32"/>
        </w:rPr>
        <w:t>按照“以荷定源”原则科学确定新能源电源类型和装机规模。</w:t>
      </w:r>
      <w:r>
        <w:rPr>
          <w:color w:val="000000"/>
          <w:szCs w:val="32"/>
        </w:rPr>
        <w:t>项目</w:t>
      </w:r>
      <w:r>
        <w:rPr>
          <w:rFonts w:hint="eastAsia"/>
          <w:color w:val="000000"/>
          <w:szCs w:val="32"/>
        </w:rPr>
        <w:t>整体</w:t>
      </w:r>
      <w:r>
        <w:rPr>
          <w:color w:val="000000"/>
          <w:szCs w:val="32"/>
        </w:rPr>
        <w:t>新能源自发自用电量占项目总用电量的比例不低于30%，</w:t>
      </w:r>
      <w:r>
        <w:rPr>
          <w:rFonts w:hint="eastAsia"/>
          <w:color w:val="000000"/>
          <w:szCs w:val="32"/>
        </w:rPr>
        <w:t>并不断提高自发自用比例，</w:t>
      </w:r>
      <w:r>
        <w:rPr>
          <w:color w:val="000000"/>
          <w:szCs w:val="32"/>
        </w:rPr>
        <w:t>2030年</w:t>
      </w:r>
      <w:r>
        <w:rPr>
          <w:rFonts w:hint="eastAsia"/>
          <w:color w:val="000000"/>
          <w:szCs w:val="32"/>
        </w:rPr>
        <w:t>前</w:t>
      </w:r>
      <w:r>
        <w:rPr>
          <w:color w:val="000000"/>
          <w:szCs w:val="32"/>
        </w:rPr>
        <w:t>不低于35%。</w:t>
      </w:r>
      <w:r>
        <w:rPr>
          <w:rFonts w:hint="eastAsia"/>
          <w:color w:val="000000"/>
          <w:szCs w:val="32"/>
        </w:rPr>
        <w:t>新能源自发自用</w:t>
      </w:r>
      <w:r>
        <w:rPr>
          <w:color w:val="000000"/>
          <w:szCs w:val="32"/>
        </w:rPr>
        <w:t>电量占总可用发电量的比例</w:t>
      </w:r>
      <w:r>
        <w:rPr>
          <w:rFonts w:hint="eastAsia"/>
          <w:color w:val="000000"/>
          <w:szCs w:val="32"/>
        </w:rPr>
        <w:t>不低于6</w:t>
      </w:r>
      <w:r>
        <w:rPr>
          <w:color w:val="000000"/>
          <w:szCs w:val="32"/>
        </w:rPr>
        <w:t>0%</w:t>
      </w:r>
      <w:r>
        <w:rPr>
          <w:rFonts w:hint="eastAsia"/>
          <w:color w:val="000000"/>
          <w:szCs w:val="32"/>
        </w:rPr>
        <w:t>。其中，新增负荷开展绿电直连项目的新能源</w:t>
      </w:r>
      <w:r>
        <w:rPr>
          <w:color w:val="000000"/>
          <w:szCs w:val="32"/>
        </w:rPr>
        <w:t>上网电量占总可用发电量的比例上限</w:t>
      </w:r>
      <w:r>
        <w:rPr>
          <w:rFonts w:hint="eastAsia"/>
          <w:color w:val="000000"/>
          <w:szCs w:val="32"/>
        </w:rPr>
        <w:t>，在2</w:t>
      </w:r>
      <w:r>
        <w:rPr>
          <w:color w:val="000000"/>
          <w:szCs w:val="32"/>
        </w:rPr>
        <w:t>0</w:t>
      </w:r>
      <w:r>
        <w:rPr>
          <w:rFonts w:hint="eastAsia"/>
          <w:color w:val="000000"/>
          <w:szCs w:val="32"/>
        </w:rPr>
        <w:t>2</w:t>
      </w:r>
      <w:r>
        <w:rPr>
          <w:color w:val="000000"/>
          <w:szCs w:val="32"/>
        </w:rPr>
        <w:t>8</w:t>
      </w:r>
      <w:r>
        <w:rPr>
          <w:rFonts w:hint="eastAsia"/>
          <w:color w:val="000000"/>
          <w:szCs w:val="32"/>
        </w:rPr>
        <w:t>年底前投产项目</w:t>
      </w:r>
      <w:r>
        <w:rPr>
          <w:color w:val="000000"/>
          <w:szCs w:val="32"/>
        </w:rPr>
        <w:t>不超过40%</w:t>
      </w:r>
      <w:r>
        <w:rPr>
          <w:rFonts w:hint="eastAsia"/>
          <w:color w:val="000000"/>
          <w:szCs w:val="32"/>
        </w:rPr>
        <w:t>，之后投产项目不超过20％；存量负荷开展绿电直连项目的新能源发电量全部自发自用，不允许向公共电网反送。</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w:t>
      </w:r>
      <w:r>
        <w:rPr>
          <w:rFonts w:hint="eastAsia" w:ascii="楷体_GB2312" w:eastAsia="楷体_GB2312"/>
          <w:b/>
          <w:bCs/>
          <w:color w:val="000000"/>
          <w:kern w:val="0"/>
          <w:szCs w:val="32"/>
        </w:rPr>
        <w:t>二</w:t>
      </w:r>
      <w:r>
        <w:rPr>
          <w:rFonts w:ascii="楷体_GB2312" w:eastAsia="楷体_GB2312"/>
          <w:b/>
          <w:bCs/>
          <w:color w:val="000000"/>
          <w:kern w:val="0"/>
          <w:szCs w:val="32"/>
        </w:rPr>
        <w:t>）统筹规划</w:t>
      </w:r>
    </w:p>
    <w:p>
      <w:pPr>
        <w:adjustRightInd w:val="0"/>
        <w:snapToGrid w:val="0"/>
        <w:spacing w:line="576" w:lineRule="exact"/>
        <w:ind w:firstLine="640" w:firstLineChars="200"/>
        <w:rPr>
          <w:color w:val="000000"/>
          <w:szCs w:val="32"/>
        </w:rPr>
      </w:pPr>
      <w:r>
        <w:rPr>
          <w:color w:val="000000"/>
          <w:szCs w:val="32"/>
        </w:rPr>
        <w:t>项目应按照整体化方案</w:t>
      </w:r>
      <w:r>
        <w:rPr>
          <w:rFonts w:hint="eastAsia"/>
          <w:color w:val="000000"/>
          <w:szCs w:val="32"/>
        </w:rPr>
        <w:t>统筹推进</w:t>
      </w:r>
      <w:r>
        <w:rPr>
          <w:color w:val="000000"/>
          <w:szCs w:val="32"/>
        </w:rPr>
        <w:t>，</w:t>
      </w:r>
      <w:r>
        <w:rPr>
          <w:rFonts w:hint="eastAsia"/>
          <w:color w:val="000000"/>
          <w:szCs w:val="32"/>
        </w:rPr>
        <w:t>协同建设；多个负荷无法同期投产的，按照负荷投产时序确定各批次装机规模。</w:t>
      </w:r>
      <w:r>
        <w:rPr>
          <w:color w:val="000000"/>
          <w:kern w:val="0"/>
          <w:szCs w:val="32"/>
        </w:rPr>
        <w:t>负荷、电源原则上布局在同一市（州）范围内，确需跨市（州）范围布局的，</w:t>
      </w:r>
      <w:r>
        <w:rPr>
          <w:rFonts w:hint="eastAsia"/>
          <w:color w:val="000000"/>
          <w:szCs w:val="32"/>
        </w:rPr>
        <w:t>在</w:t>
      </w:r>
      <w:r>
        <w:rPr>
          <w:color w:val="000000"/>
          <w:szCs w:val="32"/>
        </w:rPr>
        <w:t>专题评估论证</w:t>
      </w:r>
      <w:r>
        <w:rPr>
          <w:rFonts w:hint="eastAsia"/>
          <w:color w:val="000000"/>
          <w:szCs w:val="32"/>
        </w:rPr>
        <w:t>可行性后可开展</w:t>
      </w:r>
      <w:r>
        <w:rPr>
          <w:color w:val="000000"/>
          <w:kern w:val="0"/>
          <w:szCs w:val="32"/>
        </w:rPr>
        <w:t>。</w:t>
      </w:r>
      <w:r>
        <w:rPr>
          <w:color w:val="000000"/>
          <w:szCs w:val="32"/>
        </w:rPr>
        <w:t>项目用电负荷规模应有依据和支撑，新建新能源</w:t>
      </w:r>
      <w:r>
        <w:rPr>
          <w:rFonts w:hint="eastAsia"/>
          <w:color w:val="000000"/>
          <w:szCs w:val="32"/>
        </w:rPr>
        <w:t>电源</w:t>
      </w:r>
      <w:r>
        <w:rPr>
          <w:color w:val="000000"/>
          <w:szCs w:val="32"/>
        </w:rPr>
        <w:t>须落实建设条件。项目接入电压等级原则上不超过220千伏，确有必要接入220千伏的，由省能源局会同国家能源局东北监管局组织电网企业、项目单位等开展电力系统安全风险专项评估，确保电网安全稳定运行。</w:t>
      </w:r>
      <w:r>
        <w:rPr>
          <w:rFonts w:hint="eastAsia"/>
          <w:color w:val="000000"/>
          <w:szCs w:val="32"/>
        </w:rPr>
        <w:t>直连专线尽量减少与公共电网交叉跨越，确需跨越的应科学落实相应安全措施。</w:t>
      </w:r>
    </w:p>
    <w:p>
      <w:pPr>
        <w:adjustRightInd w:val="0"/>
        <w:snapToGrid w:val="0"/>
        <w:spacing w:line="576" w:lineRule="exact"/>
        <w:ind w:firstLine="640" w:firstLineChars="200"/>
        <w:rPr>
          <w:color w:val="000000"/>
          <w:szCs w:val="32"/>
        </w:rPr>
      </w:pPr>
      <w:r>
        <w:rPr>
          <w:rFonts w:hint="eastAsia"/>
          <w:color w:val="000000"/>
          <w:szCs w:val="32"/>
        </w:rPr>
        <w:t>利用存量负荷申报的项目，由省级电网企业出具指导意见，明确利用存量负荷申报并网型多用户绿电直连项目关于电力系统安全稳定运行、负荷供电可靠性等要求和原则。项目单位应根据省级电网企业出具的指导意见，编制《电力系统影响综合分析报告》。</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w:t>
      </w:r>
      <w:r>
        <w:rPr>
          <w:rFonts w:hint="eastAsia" w:ascii="楷体_GB2312" w:eastAsia="楷体_GB2312"/>
          <w:b/>
          <w:bCs/>
          <w:color w:val="000000"/>
          <w:kern w:val="0"/>
          <w:szCs w:val="32"/>
        </w:rPr>
        <w:t>三</w:t>
      </w:r>
      <w:r>
        <w:rPr>
          <w:rFonts w:ascii="楷体_GB2312" w:eastAsia="楷体_GB2312"/>
          <w:b/>
          <w:bCs/>
          <w:color w:val="000000"/>
          <w:kern w:val="0"/>
          <w:szCs w:val="32"/>
        </w:rPr>
        <w:t>）建设模式</w:t>
      </w:r>
    </w:p>
    <w:p>
      <w:pPr>
        <w:adjustRightInd w:val="0"/>
        <w:snapToGrid w:val="0"/>
        <w:spacing w:line="576" w:lineRule="exact"/>
        <w:ind w:firstLine="640" w:firstLineChars="200"/>
        <w:rPr>
          <w:color w:val="000000"/>
          <w:szCs w:val="32"/>
        </w:rPr>
      </w:pPr>
      <w:r>
        <w:rPr>
          <w:rFonts w:hint="eastAsia"/>
          <w:color w:val="000000"/>
          <w:szCs w:val="32"/>
        </w:rPr>
        <w:t>项目应明确独立的主体作为项目主责单位，项目主责单位应具备法人资格，原则上由负荷方与电源方合资组建，也可以由负荷方或电源方单独投资组建，园区模式的项目主责单位可由园区管委会或第三方机构（不含运营输电业务的公共电网企业）投资组建。项目连接线路、变电设施、储能及运营平台原则上由项目主责单位投资建设。支持民营企业在内的各类经营主体（不含运营输电业务的公共电网企业）投资绿电直连项目。项目主责单位应充分利用存量电力设施，在不影响与公共电网责任界面划分的前提下，秉承“客观、公允”原则，通过租赁等方式协商使用其他主体的存量电力设施；协商不成的，项目主责单位可自行建设相关设施。项目及其内部资源豁免电力业务许可，另有规定除外。</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w:t>
      </w:r>
      <w:r>
        <w:rPr>
          <w:rFonts w:hint="eastAsia" w:ascii="楷体_GB2312" w:eastAsia="楷体_GB2312"/>
          <w:b/>
          <w:bCs/>
          <w:color w:val="000000"/>
          <w:kern w:val="0"/>
          <w:szCs w:val="32"/>
        </w:rPr>
        <w:t>四</w:t>
      </w:r>
      <w:r>
        <w:rPr>
          <w:rFonts w:ascii="楷体_GB2312" w:eastAsia="楷体_GB2312"/>
          <w:b/>
          <w:bCs/>
          <w:color w:val="000000"/>
          <w:kern w:val="0"/>
          <w:szCs w:val="32"/>
        </w:rPr>
        <w:t>）</w:t>
      </w:r>
      <w:r>
        <w:rPr>
          <w:rFonts w:hint="eastAsia" w:ascii="楷体_GB2312" w:eastAsia="楷体_GB2312"/>
          <w:b/>
          <w:bCs/>
          <w:color w:val="000000"/>
          <w:kern w:val="0"/>
          <w:szCs w:val="32"/>
        </w:rPr>
        <w:t>责任界面</w:t>
      </w:r>
    </w:p>
    <w:p>
      <w:pPr>
        <w:adjustRightInd w:val="0"/>
        <w:snapToGrid w:val="0"/>
        <w:spacing w:line="576" w:lineRule="exact"/>
        <w:ind w:firstLine="640" w:firstLineChars="200"/>
        <w:rPr>
          <w:color w:val="000000"/>
          <w:kern w:val="0"/>
          <w:szCs w:val="32"/>
        </w:rPr>
      </w:pPr>
      <w:r>
        <w:rPr>
          <w:rFonts w:hint="eastAsia"/>
          <w:color w:val="000000"/>
          <w:szCs w:val="32"/>
        </w:rPr>
        <w:t>项目主责单位与内部主体应就产权划分、运行维护、安全责任、内部费用标准和结算、违约责任等事项签订协议。</w:t>
      </w:r>
      <w:r>
        <w:rPr>
          <w:rFonts w:hint="eastAsia"/>
          <w:color w:val="000000"/>
          <w:kern w:val="0"/>
          <w:szCs w:val="32"/>
        </w:rPr>
        <w:t>项目主责单位承担由于项目自身原因造成供电中断的相关责任，并按照“谁产生、谁负责”原则，根据内部协议运行实际对责任公平划分。</w:t>
      </w:r>
    </w:p>
    <w:p>
      <w:pPr>
        <w:adjustRightInd w:val="0"/>
        <w:snapToGrid w:val="0"/>
        <w:spacing w:line="576" w:lineRule="exact"/>
        <w:ind w:firstLine="640" w:firstLineChars="200"/>
        <w:rPr>
          <w:color w:val="000000"/>
          <w:kern w:val="0"/>
          <w:szCs w:val="32"/>
        </w:rPr>
      </w:pPr>
      <w:r>
        <w:rPr>
          <w:rFonts w:hint="eastAsia"/>
          <w:color w:val="000000"/>
          <w:kern w:val="0"/>
          <w:szCs w:val="32"/>
        </w:rPr>
        <w:t>并网型项目与公共电网</w:t>
      </w:r>
      <w:r>
        <w:rPr>
          <w:color w:val="000000"/>
          <w:kern w:val="0"/>
          <w:szCs w:val="32"/>
        </w:rPr>
        <w:t>按产权分界点形成清晰明确的安全责任界面，</w:t>
      </w:r>
      <w:r>
        <w:rPr>
          <w:rFonts w:hint="eastAsia"/>
          <w:color w:val="000000"/>
          <w:szCs w:val="32"/>
        </w:rPr>
        <w:t>项目主责单位</w:t>
      </w:r>
      <w:r>
        <w:rPr>
          <w:color w:val="000000"/>
          <w:kern w:val="0"/>
          <w:szCs w:val="32"/>
        </w:rPr>
        <w:t>与电网企业</w:t>
      </w:r>
      <w:r>
        <w:rPr>
          <w:rFonts w:hint="eastAsia"/>
          <w:color w:val="000000"/>
          <w:szCs w:val="32"/>
        </w:rPr>
        <w:t>应就</w:t>
      </w:r>
      <w:r>
        <w:rPr>
          <w:color w:val="000000"/>
          <w:kern w:val="0"/>
          <w:szCs w:val="32"/>
        </w:rPr>
        <w:t>产权划分、</w:t>
      </w:r>
      <w:r>
        <w:rPr>
          <w:rFonts w:hint="eastAsia"/>
          <w:color w:val="000000"/>
          <w:kern w:val="0"/>
          <w:szCs w:val="32"/>
        </w:rPr>
        <w:t>安全责任、</w:t>
      </w:r>
      <w:r>
        <w:rPr>
          <w:color w:val="000000"/>
          <w:kern w:val="0"/>
          <w:szCs w:val="32"/>
        </w:rPr>
        <w:t>调度运行、结算关系、违约责任等事项签订相关协议</w:t>
      </w:r>
      <w:r>
        <w:rPr>
          <w:rFonts w:hint="eastAsia"/>
          <w:color w:val="000000"/>
          <w:kern w:val="0"/>
          <w:szCs w:val="32"/>
        </w:rPr>
        <w:t>，各自在责任界面内履行相应电力安全风险管控责任。项目主责单位应统筹内部源荷特性、平衡能力、经济收益等因素，自主合理确定接入公共电网容量；公共电网按接网容量和有关协议履行供电责任。并网型项目主责单位应组织内部电源和负荷建立相应的调节机制，确保项目与公共电网的交换功率不超过接网容量。离网型项目自行承担项目范围内的安全风险管控责任。</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w:t>
      </w:r>
      <w:r>
        <w:rPr>
          <w:rFonts w:hint="eastAsia" w:ascii="楷体_GB2312" w:eastAsia="楷体_GB2312"/>
          <w:b/>
          <w:bCs/>
          <w:color w:val="000000"/>
          <w:kern w:val="0"/>
          <w:szCs w:val="32"/>
        </w:rPr>
        <w:t>五</w:t>
      </w:r>
      <w:r>
        <w:rPr>
          <w:rFonts w:ascii="楷体_GB2312" w:eastAsia="楷体_GB2312"/>
          <w:b/>
          <w:bCs/>
          <w:color w:val="000000"/>
          <w:kern w:val="0"/>
          <w:szCs w:val="32"/>
        </w:rPr>
        <w:t>）运行管理</w:t>
      </w:r>
    </w:p>
    <w:p>
      <w:pPr>
        <w:adjustRightInd w:val="0"/>
        <w:snapToGrid w:val="0"/>
        <w:spacing w:line="576" w:lineRule="exact"/>
        <w:ind w:firstLine="640" w:firstLineChars="200"/>
        <w:rPr>
          <w:color w:val="000000"/>
          <w:kern w:val="0"/>
          <w:szCs w:val="32"/>
        </w:rPr>
      </w:pPr>
      <w:r>
        <w:rPr>
          <w:rFonts w:hint="eastAsia"/>
          <w:color w:val="000000"/>
          <w:kern w:val="0"/>
          <w:szCs w:val="32"/>
        </w:rPr>
        <w:t>项目应同步建设调控平台，按标准配置继电保护、安全稳定控制装置、通信设备等二次系统。项目主责单位应强化运行管理能力，协同优化项目内部电源、储能等资源，做好应急场景下项目内部用电调节和有序供应的预案，明确相关安全和经济责任，并报送市（州）能源主管部门备案。</w:t>
      </w:r>
    </w:p>
    <w:p>
      <w:pPr>
        <w:adjustRightInd w:val="0"/>
        <w:snapToGrid w:val="0"/>
        <w:spacing w:line="576" w:lineRule="exact"/>
        <w:ind w:firstLine="640" w:firstLineChars="200"/>
        <w:rPr>
          <w:color w:val="000000"/>
          <w:kern w:val="0"/>
          <w:szCs w:val="32"/>
        </w:rPr>
      </w:pPr>
      <w:r>
        <w:rPr>
          <w:rFonts w:hint="eastAsia"/>
          <w:color w:val="000000"/>
          <w:kern w:val="0"/>
          <w:szCs w:val="32"/>
        </w:rPr>
        <w:t>并网型项目根据接入的电压等级和容量规模，分级分类配置监测与控制设施，做好公共电网交换功率监测，安装网络安全监测、隔离装置等网络安全设施，内部各设施涉网性能应满足相关标准，并按照有关规定向电力调度机构提供相关资料。并网型项目按照为系统提供服务的类别接入新型电力负荷管理系统或电力调度自动化系统，项目整体及内部电源按照接入电压等级和容量规模接受相应调度机构统一管理，调度机构在项目现货市场出清结果基础上下达调度计划；项目主责单位按照调度计划负责管理内部平衡。</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（六）就近消纳</w:t>
      </w:r>
    </w:p>
    <w:p>
      <w:pPr>
        <w:adjustRightInd w:val="0"/>
        <w:snapToGrid w:val="0"/>
        <w:spacing w:line="576" w:lineRule="exact"/>
        <w:ind w:firstLine="640" w:firstLineChars="200"/>
        <w:rPr>
          <w:color w:val="000000"/>
          <w:kern w:val="0"/>
          <w:szCs w:val="32"/>
        </w:rPr>
      </w:pPr>
      <w:r>
        <w:rPr>
          <w:rFonts w:hint="eastAsia"/>
          <w:color w:val="000000"/>
          <w:kern w:val="0"/>
          <w:szCs w:val="32"/>
        </w:rPr>
        <w:t>项目应通过合理配置储能等调节能力、提升集控管理能力、挖掘负荷灵活调节潜力、开展多能互补等方式，提升就近消纳能力。项目新能源弃电不纳入全省新能源利用率统计。并网型项目规划方案应合理确定最大的负荷峰谷差率，与公共电网交换功率的电力峰谷差率不高于方案规划值。</w:t>
      </w:r>
    </w:p>
    <w:p>
      <w:pPr>
        <w:adjustRightInd w:val="0"/>
        <w:snapToGrid w:val="0"/>
        <w:spacing w:line="576" w:lineRule="exact"/>
        <w:ind w:firstLine="640" w:firstLineChars="200"/>
        <w:outlineLvl w:val="0"/>
        <w:rPr>
          <w:rFonts w:eastAsia="黑体"/>
          <w:color w:val="000000"/>
          <w:kern w:val="0"/>
          <w:szCs w:val="32"/>
        </w:rPr>
      </w:pPr>
      <w:r>
        <w:rPr>
          <w:rFonts w:hint="eastAsia" w:eastAsia="黑体"/>
          <w:color w:val="000000"/>
          <w:kern w:val="0"/>
          <w:szCs w:val="32"/>
        </w:rPr>
        <w:t>四、交易与价格机制</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（一）市场参与方式</w:t>
      </w:r>
    </w:p>
    <w:p>
      <w:pPr>
        <w:adjustRightInd w:val="0"/>
        <w:snapToGrid w:val="0"/>
        <w:spacing w:line="576" w:lineRule="exact"/>
        <w:ind w:firstLine="640" w:firstLineChars="200"/>
        <w:rPr>
          <w:color w:val="000000"/>
          <w:kern w:val="0"/>
          <w:szCs w:val="32"/>
        </w:rPr>
      </w:pPr>
      <w:r>
        <w:rPr>
          <w:rFonts w:hint="eastAsia"/>
          <w:color w:val="000000"/>
          <w:kern w:val="0"/>
          <w:szCs w:val="32"/>
        </w:rPr>
        <w:t>并网型项目按照《电力市场注册基本规则》及省内有关要求，以新型经营主体身份进行市场注册，内部主体也可分别注册；项目原则上应作为整体参与电力市场交易，由项目主责单位统一申报；当项目呈现上网特性时，以“报量报价”方式参与电力现货市场；当项目呈现下网特性时，初期可以“报量不报价”方式参与电力现货市场，条件成熟时，逐步过渡至“报量报价”参与电力现货市场。项目不得由电网企业代理购电。</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（二）计量管理</w:t>
      </w:r>
    </w:p>
    <w:p>
      <w:pPr>
        <w:adjustRightInd w:val="0"/>
        <w:snapToGrid w:val="0"/>
        <w:spacing w:line="576" w:lineRule="exact"/>
        <w:ind w:firstLine="640" w:firstLineChars="200"/>
        <w:rPr>
          <w:color w:val="000000"/>
          <w:kern w:val="0"/>
          <w:szCs w:val="32"/>
        </w:rPr>
      </w:pPr>
      <w:r>
        <w:rPr>
          <w:rFonts w:hint="eastAsia"/>
          <w:color w:val="000000"/>
          <w:kern w:val="0"/>
          <w:szCs w:val="32"/>
        </w:rPr>
        <w:t>项目应具备分表计量条件，由电网企业在项目内部各发电、厂用电、并网、内部各用户、储能等关口安装符合相关标准和有关部门认可的双向分时计量装置。禁止绕越各电能计量装置用电。</w:t>
      </w:r>
    </w:p>
    <w:p>
      <w:pPr>
        <w:adjustRightInd w:val="0"/>
        <w:snapToGrid w:val="0"/>
        <w:spacing w:line="576" w:lineRule="exact"/>
        <w:ind w:firstLine="640" w:firstLineChars="200"/>
        <w:rPr>
          <w:color w:val="000000"/>
          <w:kern w:val="0"/>
          <w:szCs w:val="32"/>
        </w:rPr>
      </w:pPr>
      <w:r>
        <w:rPr>
          <w:rFonts w:hint="eastAsia"/>
          <w:color w:val="000000"/>
          <w:kern w:val="0"/>
          <w:szCs w:val="32"/>
        </w:rPr>
        <w:t>并网型项目以项目与公共电网接入点作为计量、结算参考点，作为整体与公共电网进行电费结算。</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（三）项目内部管理</w:t>
      </w:r>
    </w:p>
    <w:p>
      <w:pPr>
        <w:adjustRightInd w:val="0"/>
        <w:snapToGrid w:val="0"/>
        <w:spacing w:line="576" w:lineRule="exact"/>
        <w:ind w:firstLine="640" w:firstLineChars="200"/>
        <w:rPr>
          <w:color w:val="000000"/>
          <w:kern w:val="0"/>
          <w:szCs w:val="32"/>
        </w:rPr>
      </w:pPr>
      <w:r>
        <w:rPr>
          <w:rFonts w:hint="eastAsia"/>
          <w:color w:val="000000"/>
          <w:kern w:val="0"/>
          <w:szCs w:val="32"/>
        </w:rPr>
        <w:t>项目主责单位应与项目内部主体按照权责对等、公平分摊的原则签订协议（包含长期购电协议或合同能源管理协议），明确代理交易模式和价格模式，合理确定内部结算方式等内容，并考虑外部市场价格变化、负荷实际调节能力等因素定期协商调整。鼓励项目主责单位组织内部电源与负荷在协议约定的基础上，根据内部主体的调节能力及约定的补偿标准，优化内部运行方式，促进源荷协同运行。</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（四）价格机制</w:t>
      </w:r>
    </w:p>
    <w:p>
      <w:pPr>
        <w:adjustRightInd w:val="0"/>
        <w:snapToGrid w:val="0"/>
        <w:spacing w:line="576" w:lineRule="exact"/>
        <w:ind w:firstLine="640" w:firstLineChars="200"/>
        <w:rPr>
          <w:color w:val="000000"/>
          <w:kern w:val="0"/>
          <w:szCs w:val="32"/>
        </w:rPr>
      </w:pPr>
      <w:r>
        <w:rPr>
          <w:rFonts w:hint="eastAsia"/>
          <w:color w:val="000000"/>
          <w:kern w:val="0"/>
          <w:szCs w:val="32"/>
        </w:rPr>
        <w:t>并网型项目执行国家及省内相关价格政策文件要求，公平承担输配电费、系统运行费、政策性交叉补贴等费用。单一电力用户变更多用户绿电直连项目后，整体按照新项目执行价格政策。项目主责单位负责统一与公共电网结算电费。并网型和离网型项目均应按现行政策缴纳政府性基金及附加。项目新能源发电量不纳入新能源可持续发展价格结算机制。</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（五）绿电溯源机制</w:t>
      </w:r>
    </w:p>
    <w:p>
      <w:pPr>
        <w:adjustRightInd w:val="0"/>
        <w:snapToGrid w:val="0"/>
        <w:spacing w:line="576" w:lineRule="exact"/>
        <w:ind w:firstLine="640" w:firstLineChars="200"/>
        <w:rPr>
          <w:color w:val="000000"/>
          <w:kern w:val="0"/>
          <w:szCs w:val="32"/>
        </w:rPr>
      </w:pPr>
      <w:r>
        <w:rPr>
          <w:rFonts w:hint="eastAsia"/>
          <w:color w:val="000000"/>
          <w:kern w:val="0"/>
          <w:szCs w:val="32"/>
        </w:rPr>
        <w:t>并网型项目整体按照内部实际新能源发电量（含储能释放的项目新能源电量）扣减上网电量确定自发自用电量，形成项目整体绿电溯源结果。项目内部各用户可按照每个时段用电量占比确定自发自用电量，实现小时级新能源发用电量匹配。</w:t>
      </w:r>
    </w:p>
    <w:p>
      <w:pPr>
        <w:adjustRightInd w:val="0"/>
        <w:snapToGrid w:val="0"/>
        <w:spacing w:line="576" w:lineRule="exact"/>
        <w:ind w:firstLine="640" w:firstLineChars="200"/>
        <w:rPr>
          <w:color w:val="000000"/>
          <w:kern w:val="0"/>
          <w:szCs w:val="32"/>
        </w:rPr>
      </w:pPr>
      <w:r>
        <w:rPr>
          <w:rFonts w:hint="eastAsia"/>
          <w:color w:val="000000"/>
          <w:kern w:val="0"/>
          <w:szCs w:val="32"/>
        </w:rPr>
        <w:t>项目内部电源应在国家可再生能源发电项目信息管理平台建档立卡，电网企业原则上应根据计量数据计算绿电溯源结果，并按相关规定进行核对后，推送至国家绿证核发交易系统。项目自发自用电量对应绿证的核发、划转、核销等按照有关规定执行。</w:t>
      </w:r>
    </w:p>
    <w:p>
      <w:pPr>
        <w:adjustRightInd w:val="0"/>
        <w:snapToGrid w:val="0"/>
        <w:spacing w:line="576" w:lineRule="exact"/>
        <w:ind w:firstLine="640" w:firstLineChars="200"/>
        <w:outlineLvl w:val="0"/>
        <w:rPr>
          <w:rFonts w:ascii="宋体" w:hAnsi="宋体" w:eastAsia="宋体" w:cs="宋体"/>
          <w:color w:val="000000"/>
          <w:kern w:val="0"/>
          <w:sz w:val="24"/>
        </w:rPr>
      </w:pPr>
      <w:r>
        <w:rPr>
          <w:rFonts w:hint="eastAsia" w:eastAsia="黑体"/>
          <w:color w:val="000000"/>
          <w:kern w:val="0"/>
          <w:szCs w:val="32"/>
        </w:rPr>
        <w:t>五</w:t>
      </w:r>
      <w:r>
        <w:rPr>
          <w:rFonts w:eastAsia="黑体"/>
          <w:color w:val="000000"/>
          <w:kern w:val="0"/>
          <w:szCs w:val="32"/>
        </w:rPr>
        <w:t>、</w:t>
      </w:r>
      <w:r>
        <w:rPr>
          <w:rFonts w:hint="eastAsia" w:eastAsia="黑体"/>
          <w:color w:val="000000"/>
          <w:kern w:val="0"/>
          <w:szCs w:val="32"/>
        </w:rPr>
        <w:t>项目</w:t>
      </w:r>
      <w:r>
        <w:rPr>
          <w:rFonts w:eastAsia="黑体"/>
          <w:color w:val="000000"/>
          <w:kern w:val="0"/>
          <w:szCs w:val="32"/>
        </w:rPr>
        <w:t>申报</w:t>
      </w:r>
      <w:r>
        <w:rPr>
          <w:rFonts w:hint="eastAsia" w:eastAsia="黑体"/>
          <w:color w:val="000000"/>
          <w:kern w:val="0"/>
          <w:szCs w:val="32"/>
        </w:rPr>
        <w:t>与实施</w:t>
      </w:r>
    </w:p>
    <w:p>
      <w:pPr>
        <w:adjustRightInd w:val="0"/>
        <w:snapToGrid w:val="0"/>
        <w:spacing w:line="576" w:lineRule="exact"/>
        <w:ind w:firstLine="642" w:firstLineChars="200"/>
        <w:outlineLvl w:val="1"/>
        <w:rPr>
          <w:rFonts w:eastAsia="楷体"/>
          <w:b/>
          <w:bCs/>
          <w:color w:val="000000"/>
          <w:kern w:val="0"/>
          <w:szCs w:val="32"/>
        </w:rPr>
      </w:pPr>
      <w:r>
        <w:rPr>
          <w:rFonts w:eastAsia="楷体"/>
          <w:b/>
          <w:bCs/>
          <w:color w:val="000000"/>
          <w:kern w:val="0"/>
          <w:szCs w:val="32"/>
        </w:rPr>
        <w:t>（一）</w:t>
      </w:r>
      <w:r>
        <w:rPr>
          <w:rFonts w:hint="eastAsia" w:eastAsia="楷体"/>
          <w:b/>
          <w:bCs/>
          <w:color w:val="000000"/>
          <w:kern w:val="0"/>
          <w:szCs w:val="32"/>
        </w:rPr>
        <w:t>项目</w:t>
      </w:r>
      <w:r>
        <w:rPr>
          <w:rFonts w:eastAsia="楷体"/>
          <w:b/>
          <w:bCs/>
          <w:color w:val="000000"/>
          <w:kern w:val="0"/>
          <w:szCs w:val="32"/>
        </w:rPr>
        <w:t>申报</w:t>
      </w:r>
    </w:p>
    <w:p>
      <w:pPr>
        <w:adjustRightInd w:val="0"/>
        <w:snapToGrid w:val="0"/>
        <w:spacing w:line="576" w:lineRule="exact"/>
        <w:ind w:firstLine="640" w:firstLineChars="200"/>
        <w:rPr>
          <w:color w:val="000000"/>
          <w:kern w:val="0"/>
          <w:szCs w:val="32"/>
        </w:rPr>
      </w:pPr>
      <w:r>
        <w:rPr>
          <w:rFonts w:hint="eastAsia"/>
          <w:color w:val="000000"/>
          <w:kern w:val="0"/>
          <w:szCs w:val="32"/>
        </w:rPr>
        <w:t>项目主责单位</w:t>
      </w:r>
      <w:r>
        <w:rPr>
          <w:color w:val="000000"/>
          <w:kern w:val="0"/>
          <w:szCs w:val="32"/>
        </w:rPr>
        <w:t>根据项目属性，准备申报证明材料，并编制项目实施方案，明确建设内容、新能源建设模式、建设时序，向所在市（州）能源主管部门提出申请。</w:t>
      </w:r>
      <w:r>
        <w:rPr>
          <w:rFonts w:hint="eastAsia"/>
          <w:color w:val="000000"/>
          <w:kern w:val="0"/>
          <w:szCs w:val="32"/>
        </w:rPr>
        <w:t>项目主责单位</w:t>
      </w:r>
      <w:r>
        <w:rPr>
          <w:color w:val="000000"/>
          <w:kern w:val="0"/>
          <w:szCs w:val="32"/>
        </w:rPr>
        <w:t>应编制包含电源、负荷、直连线路和接入系统的整体化方案，以专门章节评估源荷匹配、系统风险、用电安全、电能质量等，并提出具体技术措施</w:t>
      </w:r>
      <w:r>
        <w:rPr>
          <w:rFonts w:hint="eastAsia"/>
          <w:color w:val="000000"/>
          <w:kern w:val="0"/>
          <w:szCs w:val="32"/>
        </w:rPr>
        <w:t>；制定负荷不足、调节能力降低或停运的处置预案。新能源及接入工程应落实建设场址，取得包括但不限于自然资源、林草、环保、文物、军事等部门出具的初步选址合规性审核意见。</w:t>
      </w:r>
    </w:p>
    <w:p>
      <w:pPr>
        <w:adjustRightInd w:val="0"/>
        <w:snapToGrid w:val="0"/>
        <w:spacing w:line="576" w:lineRule="exact"/>
        <w:ind w:firstLine="640" w:firstLineChars="200"/>
        <w:rPr>
          <w:color w:val="000000"/>
          <w:kern w:val="0"/>
          <w:szCs w:val="32"/>
        </w:rPr>
      </w:pPr>
      <w:r>
        <w:rPr>
          <w:rFonts w:hint="eastAsia"/>
          <w:color w:val="000000"/>
          <w:kern w:val="0"/>
          <w:szCs w:val="32"/>
        </w:rPr>
        <w:t>确有必要接入220千伏的绿电直连项目，应取得电力系统安全风险专项评估意见。</w:t>
      </w:r>
      <w:r>
        <w:rPr>
          <w:color w:val="000000"/>
          <w:kern w:val="0"/>
          <w:szCs w:val="32"/>
        </w:rPr>
        <w:t>确需跨市（州）范围布局的，</w:t>
      </w:r>
      <w:r>
        <w:rPr>
          <w:rFonts w:hint="eastAsia"/>
          <w:color w:val="000000"/>
          <w:kern w:val="0"/>
          <w:szCs w:val="32"/>
        </w:rPr>
        <w:t>鼓励市（州）间加强沟通协作，支持新能源开发资源不足的市（州）突破地域限制，在与周边市（州）协商一致的情况下，依据发展需要谋划建设多用户绿电直连跨市（州）合作项目。</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（二）</w:t>
      </w:r>
      <w:r>
        <w:rPr>
          <w:rFonts w:hint="eastAsia" w:ascii="楷体_GB2312" w:eastAsia="楷体_GB2312"/>
          <w:b/>
          <w:bCs/>
          <w:color w:val="000000"/>
          <w:kern w:val="0"/>
          <w:szCs w:val="32"/>
        </w:rPr>
        <w:t>项目批复</w:t>
      </w:r>
    </w:p>
    <w:p>
      <w:pPr>
        <w:adjustRightInd w:val="0"/>
        <w:snapToGrid w:val="0"/>
        <w:spacing w:line="576" w:lineRule="exact"/>
        <w:ind w:firstLine="640" w:firstLineChars="200"/>
        <w:rPr>
          <w:color w:val="000000"/>
          <w:kern w:val="0"/>
          <w:szCs w:val="32"/>
        </w:rPr>
      </w:pPr>
      <w:bookmarkStart w:id="2" w:name="OLE_LINK10"/>
      <w:r>
        <w:rPr>
          <w:color w:val="000000"/>
          <w:kern w:val="0"/>
          <w:szCs w:val="32"/>
        </w:rPr>
        <w:t>市（州）能源主管部门对申报材料进行审查，对项目实施方案及支撑性材料的真实性、合规性、完整性进行审查</w:t>
      </w:r>
      <w:r>
        <w:rPr>
          <w:rFonts w:hint="eastAsia"/>
          <w:color w:val="000000"/>
          <w:kern w:val="0"/>
          <w:szCs w:val="32"/>
        </w:rPr>
        <w:t>。组织具备资质的第三方机构对</w:t>
      </w:r>
      <w:r>
        <w:rPr>
          <w:color w:val="000000"/>
          <w:kern w:val="0"/>
          <w:szCs w:val="32"/>
        </w:rPr>
        <w:t>项目实施方案</w:t>
      </w:r>
      <w:r>
        <w:rPr>
          <w:rFonts w:hint="eastAsia"/>
          <w:color w:val="000000"/>
          <w:kern w:val="0"/>
          <w:szCs w:val="32"/>
        </w:rPr>
        <w:t>进行评审，</w:t>
      </w:r>
      <w:r>
        <w:rPr>
          <w:color w:val="000000"/>
          <w:kern w:val="0"/>
          <w:szCs w:val="32"/>
        </w:rPr>
        <w:t>对项目建设规模、</w:t>
      </w:r>
      <w:r>
        <w:rPr>
          <w:rFonts w:hint="eastAsia"/>
          <w:color w:val="000000"/>
          <w:kern w:val="0"/>
          <w:szCs w:val="32"/>
        </w:rPr>
        <w:t>源荷匹配、</w:t>
      </w:r>
      <w:r>
        <w:rPr>
          <w:color w:val="000000"/>
          <w:kern w:val="0"/>
          <w:szCs w:val="32"/>
        </w:rPr>
        <w:t>实施条件、接入</w:t>
      </w:r>
      <w:r>
        <w:rPr>
          <w:rFonts w:hint="eastAsia"/>
          <w:color w:val="000000"/>
          <w:kern w:val="0"/>
          <w:szCs w:val="32"/>
        </w:rPr>
        <w:t>系统方案</w:t>
      </w:r>
      <w:r>
        <w:rPr>
          <w:color w:val="000000"/>
          <w:kern w:val="0"/>
          <w:szCs w:val="32"/>
        </w:rPr>
        <w:t>等进行评估，充分听取电网企业意见</w:t>
      </w:r>
      <w:r>
        <w:rPr>
          <w:rFonts w:hint="eastAsia"/>
          <w:color w:val="000000"/>
          <w:kern w:val="0"/>
          <w:szCs w:val="32"/>
        </w:rPr>
        <w:t>。</w:t>
      </w:r>
      <w:r>
        <w:rPr>
          <w:color w:val="000000"/>
          <w:kern w:val="0"/>
          <w:szCs w:val="32"/>
        </w:rPr>
        <w:t>通过评审的项目</w:t>
      </w:r>
      <w:r>
        <w:rPr>
          <w:rFonts w:hint="eastAsia"/>
          <w:color w:val="000000"/>
          <w:kern w:val="0"/>
          <w:szCs w:val="32"/>
        </w:rPr>
        <w:t>方案</w:t>
      </w:r>
      <w:r>
        <w:rPr>
          <w:color w:val="000000"/>
          <w:kern w:val="0"/>
          <w:szCs w:val="32"/>
        </w:rPr>
        <w:t>由市（州）能源主管部门</w:t>
      </w:r>
      <w:r>
        <w:rPr>
          <w:rFonts w:hint="eastAsia"/>
          <w:color w:val="000000"/>
          <w:kern w:val="0"/>
          <w:szCs w:val="32"/>
        </w:rPr>
        <w:t>报市（州）政府同意后，</w:t>
      </w:r>
      <w:bookmarkStart w:id="3" w:name="OLE_LINK11"/>
      <w:r>
        <w:rPr>
          <w:rFonts w:hint="eastAsia"/>
          <w:color w:val="000000"/>
          <w:kern w:val="0"/>
          <w:szCs w:val="32"/>
        </w:rPr>
        <w:t>出具批复意见，并向</w:t>
      </w:r>
      <w:r>
        <w:rPr>
          <w:color w:val="000000"/>
          <w:kern w:val="0"/>
          <w:szCs w:val="32"/>
        </w:rPr>
        <w:t>省能源局</w:t>
      </w:r>
      <w:bookmarkEnd w:id="2"/>
      <w:r>
        <w:rPr>
          <w:rFonts w:hint="eastAsia"/>
          <w:color w:val="000000"/>
          <w:kern w:val="0"/>
          <w:szCs w:val="32"/>
        </w:rPr>
        <w:t>报备，</w:t>
      </w:r>
      <w:bookmarkEnd w:id="3"/>
      <w:r>
        <w:rPr>
          <w:szCs w:val="32"/>
        </w:rPr>
        <w:t>项目</w:t>
      </w:r>
      <w:r>
        <w:rPr>
          <w:rFonts w:hint="eastAsia"/>
          <w:szCs w:val="32"/>
        </w:rPr>
        <w:t>新能源</w:t>
      </w:r>
      <w:r>
        <w:rPr>
          <w:szCs w:val="32"/>
        </w:rPr>
        <w:t>规模纳入</w:t>
      </w:r>
      <w:r>
        <w:rPr>
          <w:rFonts w:hint="eastAsia"/>
          <w:szCs w:val="32"/>
        </w:rPr>
        <w:t>年度</w:t>
      </w:r>
      <w:r>
        <w:rPr>
          <w:szCs w:val="32"/>
        </w:rPr>
        <w:t>新能源发电开发建设方案</w:t>
      </w:r>
      <w:r>
        <w:rPr>
          <w:color w:val="000000"/>
          <w:kern w:val="0"/>
          <w:szCs w:val="32"/>
        </w:rPr>
        <w:t>。跨市（州）范围布局的，</w:t>
      </w:r>
      <w:r>
        <w:rPr>
          <w:rFonts w:hint="eastAsia"/>
          <w:color w:val="000000"/>
          <w:kern w:val="0"/>
          <w:szCs w:val="32"/>
        </w:rPr>
        <w:t>由相关市</w:t>
      </w:r>
      <w:r>
        <w:rPr>
          <w:color w:val="000000"/>
          <w:kern w:val="0"/>
          <w:szCs w:val="32"/>
        </w:rPr>
        <w:t>（州）</w:t>
      </w:r>
      <w:r>
        <w:rPr>
          <w:rFonts w:hint="eastAsia"/>
          <w:color w:val="000000"/>
          <w:kern w:val="0"/>
          <w:szCs w:val="32"/>
        </w:rPr>
        <w:t>能源主管部门联合审查与批复。项目方案批复意见有效期为一年，若一年内未开工建设，批复意见自动失效。</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w:t>
      </w:r>
      <w:r>
        <w:rPr>
          <w:rFonts w:hint="eastAsia" w:ascii="楷体_GB2312" w:eastAsia="楷体_GB2312"/>
          <w:b/>
          <w:bCs/>
          <w:color w:val="000000"/>
          <w:kern w:val="0"/>
          <w:szCs w:val="32"/>
        </w:rPr>
        <w:t>三</w:t>
      </w:r>
      <w:r>
        <w:rPr>
          <w:rFonts w:ascii="楷体_GB2312" w:eastAsia="楷体_GB2312"/>
          <w:b/>
          <w:bCs/>
          <w:color w:val="000000"/>
          <w:kern w:val="0"/>
          <w:szCs w:val="32"/>
        </w:rPr>
        <w:t>）推进实施</w:t>
      </w:r>
    </w:p>
    <w:p>
      <w:pPr>
        <w:adjustRightInd w:val="0"/>
        <w:snapToGrid w:val="0"/>
        <w:spacing w:line="576" w:lineRule="exact"/>
        <w:ind w:firstLine="640" w:firstLineChars="200"/>
        <w:rPr>
          <w:color w:val="000000"/>
          <w:kern w:val="0"/>
          <w:szCs w:val="32"/>
        </w:rPr>
      </w:pPr>
      <w:r>
        <w:rPr>
          <w:rFonts w:hint="eastAsia"/>
          <w:color w:val="000000"/>
          <w:kern w:val="0"/>
          <w:szCs w:val="32"/>
        </w:rPr>
        <w:t>项目要严格按照批复方案建设，项目投运前，不得擅自变更建设内容，不得自行变更投资主体。</w:t>
      </w:r>
      <w:r>
        <w:rPr>
          <w:rFonts w:hint="eastAsia"/>
          <w:color w:val="000000"/>
          <w:szCs w:val="32"/>
        </w:rPr>
        <w:t>新能源电源</w:t>
      </w:r>
      <w:r>
        <w:rPr>
          <w:color w:val="000000"/>
          <w:szCs w:val="32"/>
        </w:rPr>
        <w:t>、直连线路按《企业投资项目核准和备案管理办法》等规定进行核准或备案。</w:t>
      </w:r>
      <w:r>
        <w:rPr>
          <w:rFonts w:hint="eastAsia"/>
          <w:color w:val="000000"/>
          <w:szCs w:val="32"/>
        </w:rPr>
        <w:t>用电负荷分批次投产的，按照“以荷定源”的原则，分批核准（备案）新能源。</w:t>
      </w:r>
      <w:r>
        <w:rPr>
          <w:rFonts w:hint="eastAsia"/>
          <w:color w:val="000000"/>
          <w:kern w:val="0"/>
          <w:szCs w:val="32"/>
        </w:rPr>
        <w:t>项目主责单位在批复意见有效期内依法依规开工。并网型项目在负荷侧项目完成计划投资</w:t>
      </w:r>
      <w:r>
        <w:rPr>
          <w:color w:val="000000"/>
          <w:kern w:val="0"/>
          <w:szCs w:val="32"/>
        </w:rPr>
        <w:t>10</w:t>
      </w:r>
      <w:r>
        <w:rPr>
          <w:rFonts w:hint="eastAsia"/>
          <w:color w:val="000000"/>
          <w:kern w:val="0"/>
          <w:szCs w:val="32"/>
        </w:rPr>
        <w:t>％以上后（</w:t>
      </w:r>
      <w:r>
        <w:rPr>
          <w:rFonts w:hint="eastAsia" w:ascii="楷体_GB2312" w:eastAsia="楷体_GB2312"/>
          <w:color w:val="000000"/>
          <w:kern w:val="0"/>
          <w:szCs w:val="32"/>
        </w:rPr>
        <w:t>以纳统数据为准，下同</w:t>
      </w:r>
      <w:r>
        <w:rPr>
          <w:rFonts w:hint="eastAsia"/>
          <w:color w:val="000000"/>
          <w:kern w:val="0"/>
          <w:szCs w:val="32"/>
        </w:rPr>
        <w:t>），配套新能源项目可申请核准（备案），在负荷侧项目完成计划投资</w:t>
      </w:r>
      <w:r>
        <w:rPr>
          <w:color w:val="000000"/>
          <w:kern w:val="0"/>
          <w:szCs w:val="32"/>
        </w:rPr>
        <w:t>30</w:t>
      </w:r>
      <w:r>
        <w:rPr>
          <w:rFonts w:hint="eastAsia"/>
          <w:color w:val="000000"/>
          <w:kern w:val="0"/>
          <w:szCs w:val="32"/>
        </w:rPr>
        <w:t>％以上后，配套新能源项目可开工建设。</w:t>
      </w:r>
      <w:r>
        <w:rPr>
          <w:color w:val="000000"/>
          <w:kern w:val="0"/>
          <w:szCs w:val="32"/>
        </w:rPr>
        <w:t>电源项目不得早于新增负荷投产，分期投产的须在项目实施方案中明确分期建设及投产计划，且每期每批电源装机规模及投产时序均要与负荷相匹配。</w:t>
      </w:r>
      <w:r>
        <w:rPr>
          <w:rFonts w:hint="eastAsia"/>
          <w:color w:val="000000"/>
          <w:kern w:val="0"/>
          <w:szCs w:val="32"/>
        </w:rPr>
        <w:t>新能源建设进度滞后的，项目主责单位可与电网企业协商临时供电方案。电网企业要根据项目批复方案做好接网服务，</w:t>
      </w:r>
      <w:r>
        <w:rPr>
          <w:color w:val="000000"/>
          <w:kern w:val="0"/>
          <w:szCs w:val="32"/>
        </w:rPr>
        <w:t>开展电网配套工程建设，协同保障绿电直连项目按期并网。</w:t>
      </w:r>
    </w:p>
    <w:p>
      <w:pPr>
        <w:adjustRightInd w:val="0"/>
        <w:snapToGrid w:val="0"/>
        <w:spacing w:line="576" w:lineRule="exact"/>
        <w:ind w:firstLine="640" w:firstLineChars="200"/>
        <w:rPr>
          <w:color w:val="000000"/>
          <w:szCs w:val="32"/>
        </w:rPr>
      </w:pPr>
      <w:r>
        <w:rPr>
          <w:rFonts w:hint="eastAsia"/>
          <w:color w:val="000000"/>
          <w:kern w:val="0"/>
          <w:szCs w:val="32"/>
        </w:rPr>
        <w:t>项目建成后由主责单位自行组织综合验收，也可以委托专家或具备相应资质的第三方机构对项目进行综合验收，市</w:t>
      </w:r>
      <w:bookmarkStart w:id="4" w:name="OLE_LINK13"/>
      <w:r>
        <w:rPr>
          <w:color w:val="000000"/>
          <w:kern w:val="0"/>
          <w:szCs w:val="32"/>
        </w:rPr>
        <w:t>（州）</w:t>
      </w:r>
      <w:bookmarkEnd w:id="4"/>
      <w:r>
        <w:rPr>
          <w:rFonts w:hint="eastAsia"/>
          <w:color w:val="000000"/>
          <w:kern w:val="0"/>
          <w:szCs w:val="32"/>
        </w:rPr>
        <w:t>能源主管部门应及时组织有关单位对综合验收结果进行现场监督核查。</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w:t>
      </w:r>
      <w:r>
        <w:rPr>
          <w:rFonts w:hint="eastAsia" w:ascii="楷体_GB2312" w:eastAsia="楷体_GB2312"/>
          <w:b/>
          <w:bCs/>
          <w:color w:val="000000"/>
          <w:kern w:val="0"/>
          <w:szCs w:val="32"/>
        </w:rPr>
        <w:t>四</w:t>
      </w:r>
      <w:r>
        <w:rPr>
          <w:rFonts w:ascii="楷体_GB2312" w:eastAsia="楷体_GB2312"/>
          <w:b/>
          <w:bCs/>
          <w:color w:val="000000"/>
          <w:kern w:val="0"/>
          <w:szCs w:val="32"/>
        </w:rPr>
        <w:t>）退出机制</w:t>
      </w:r>
    </w:p>
    <w:p>
      <w:pPr>
        <w:adjustRightInd w:val="0"/>
        <w:snapToGrid w:val="0"/>
        <w:spacing w:line="576" w:lineRule="exact"/>
        <w:ind w:firstLine="640" w:firstLineChars="200"/>
        <w:rPr>
          <w:color w:val="000000"/>
          <w:szCs w:val="32"/>
        </w:rPr>
      </w:pPr>
      <w:r>
        <w:rPr>
          <w:rFonts w:hint="eastAsia"/>
          <w:color w:val="000000"/>
          <w:kern w:val="0"/>
          <w:szCs w:val="32"/>
        </w:rPr>
        <w:t>市（州）能源主管部门要加强项目监管，定期向省能源局报送建设运行情况并抄送</w:t>
      </w:r>
      <w:r>
        <w:rPr>
          <w:color w:val="000000"/>
          <w:szCs w:val="32"/>
        </w:rPr>
        <w:t>国家能源局东北监管局</w:t>
      </w:r>
      <w:r>
        <w:rPr>
          <w:rFonts w:hint="eastAsia"/>
          <w:color w:val="000000"/>
          <w:kern w:val="0"/>
          <w:szCs w:val="32"/>
        </w:rPr>
        <w:t>。</w:t>
      </w:r>
      <w:r>
        <w:rPr>
          <w:rFonts w:hint="eastAsia"/>
          <w:color w:val="000000"/>
          <w:szCs w:val="32"/>
        </w:rPr>
        <w:t>项目建成后，接网容量发生变更的，项目主责单位应重新履行系统接入评估等手续。项目内部负荷、新能源规模需调整的，项目主责单位应申请项目方案</w:t>
      </w:r>
      <w:r>
        <w:rPr>
          <w:rFonts w:hint="eastAsia"/>
          <w:color w:val="000000"/>
          <w:kern w:val="0"/>
          <w:szCs w:val="32"/>
        </w:rPr>
        <w:t>变更</w:t>
      </w:r>
      <w:r>
        <w:rPr>
          <w:rFonts w:hint="eastAsia"/>
          <w:color w:val="000000"/>
          <w:szCs w:val="32"/>
        </w:rPr>
        <w:t>。</w:t>
      </w:r>
    </w:p>
    <w:p>
      <w:pPr>
        <w:adjustRightInd w:val="0"/>
        <w:snapToGrid w:val="0"/>
        <w:spacing w:line="576" w:lineRule="exact"/>
        <w:ind w:firstLine="640" w:firstLineChars="200"/>
        <w:rPr>
          <w:color w:val="000000"/>
          <w:kern w:val="0"/>
          <w:szCs w:val="32"/>
        </w:rPr>
      </w:pPr>
      <w:r>
        <w:rPr>
          <w:rFonts w:hint="eastAsia"/>
          <w:color w:val="000000"/>
          <w:kern w:val="0"/>
          <w:szCs w:val="32"/>
        </w:rPr>
        <w:t>当项目</w:t>
      </w:r>
      <w:r>
        <w:rPr>
          <w:color w:val="000000"/>
          <w:kern w:val="0"/>
          <w:szCs w:val="32"/>
        </w:rPr>
        <w:t>负荷发生重大变化不能持续运营的，</w:t>
      </w:r>
      <w:r>
        <w:rPr>
          <w:rFonts w:hint="eastAsia"/>
          <w:color w:val="000000"/>
          <w:kern w:val="0"/>
          <w:szCs w:val="32"/>
        </w:rPr>
        <w:t>项目主责单位</w:t>
      </w:r>
      <w:r>
        <w:rPr>
          <w:color w:val="000000"/>
          <w:kern w:val="0"/>
          <w:szCs w:val="32"/>
        </w:rPr>
        <w:t>可申请变更</w:t>
      </w:r>
      <w:r>
        <w:rPr>
          <w:rFonts w:hint="eastAsia"/>
          <w:color w:val="000000"/>
          <w:kern w:val="0"/>
          <w:szCs w:val="32"/>
        </w:rPr>
        <w:t>或引进</w:t>
      </w:r>
      <w:r>
        <w:rPr>
          <w:color w:val="000000"/>
          <w:kern w:val="0"/>
          <w:szCs w:val="32"/>
        </w:rPr>
        <w:t>其他符合</w:t>
      </w:r>
      <w:r>
        <w:rPr>
          <w:rFonts w:hint="eastAsia"/>
          <w:color w:val="000000"/>
          <w:kern w:val="0"/>
          <w:szCs w:val="32"/>
        </w:rPr>
        <w:t>条件</w:t>
      </w:r>
      <w:r>
        <w:rPr>
          <w:color w:val="000000"/>
          <w:kern w:val="0"/>
          <w:szCs w:val="32"/>
        </w:rPr>
        <w:t>的负荷。</w:t>
      </w:r>
      <w:r>
        <w:rPr>
          <w:rFonts w:hint="eastAsia"/>
          <w:color w:val="000000"/>
          <w:kern w:val="0"/>
          <w:szCs w:val="32"/>
        </w:rPr>
        <w:t>项目主责单位</w:t>
      </w:r>
      <w:r>
        <w:rPr>
          <w:color w:val="000000"/>
          <w:kern w:val="0"/>
          <w:szCs w:val="32"/>
        </w:rPr>
        <w:t>确</w:t>
      </w:r>
      <w:r>
        <w:rPr>
          <w:rFonts w:hint="eastAsia"/>
          <w:color w:val="000000"/>
          <w:kern w:val="0"/>
          <w:szCs w:val="32"/>
        </w:rPr>
        <w:t>认无力实施或引进负荷，可向</w:t>
      </w:r>
      <w:r>
        <w:rPr>
          <w:color w:val="000000"/>
          <w:kern w:val="0"/>
          <w:szCs w:val="32"/>
        </w:rPr>
        <w:t>市（州）能源主管部门</w:t>
      </w:r>
      <w:r>
        <w:rPr>
          <w:rFonts w:hint="eastAsia"/>
          <w:color w:val="000000"/>
          <w:kern w:val="0"/>
          <w:szCs w:val="32"/>
        </w:rPr>
        <w:t>申请终止项目。</w:t>
      </w:r>
      <w:r>
        <w:rPr>
          <w:color w:val="000000"/>
          <w:kern w:val="0"/>
          <w:szCs w:val="32"/>
        </w:rPr>
        <w:t>市（州）能源主管部门核实评估后，终止绿电直连项目实施资格</w:t>
      </w:r>
      <w:r>
        <w:rPr>
          <w:rFonts w:hint="eastAsia"/>
          <w:color w:val="000000"/>
          <w:kern w:val="0"/>
          <w:szCs w:val="32"/>
        </w:rPr>
        <w:t>，并报</w:t>
      </w:r>
      <w:r>
        <w:rPr>
          <w:color w:val="000000"/>
          <w:kern w:val="0"/>
          <w:szCs w:val="32"/>
        </w:rPr>
        <w:t>省能源局</w:t>
      </w:r>
      <w:r>
        <w:rPr>
          <w:rFonts w:hint="eastAsia"/>
          <w:color w:val="000000"/>
          <w:kern w:val="0"/>
          <w:szCs w:val="32"/>
        </w:rPr>
        <w:t>、市</w:t>
      </w:r>
      <w:r>
        <w:rPr>
          <w:color w:val="000000"/>
          <w:kern w:val="0"/>
          <w:szCs w:val="32"/>
        </w:rPr>
        <w:t>（州）</w:t>
      </w:r>
      <w:r>
        <w:rPr>
          <w:rFonts w:hint="eastAsia"/>
          <w:color w:val="000000"/>
          <w:kern w:val="0"/>
          <w:szCs w:val="32"/>
        </w:rPr>
        <w:t>政府备案。</w:t>
      </w:r>
      <w:r>
        <w:rPr>
          <w:color w:val="000000"/>
          <w:kern w:val="0"/>
          <w:szCs w:val="32"/>
        </w:rPr>
        <w:t>市（州）能源主管部门、电网企业落实</w:t>
      </w:r>
      <w:r>
        <w:rPr>
          <w:rFonts w:hint="eastAsia"/>
          <w:color w:val="000000"/>
          <w:kern w:val="0"/>
          <w:szCs w:val="32"/>
        </w:rPr>
        <w:t>具备</w:t>
      </w:r>
      <w:r>
        <w:rPr>
          <w:color w:val="000000"/>
          <w:kern w:val="0"/>
          <w:szCs w:val="32"/>
        </w:rPr>
        <w:t>接入条件</w:t>
      </w:r>
      <w:r>
        <w:rPr>
          <w:rFonts w:hint="eastAsia"/>
          <w:color w:val="000000"/>
          <w:kern w:val="0"/>
          <w:szCs w:val="32"/>
        </w:rPr>
        <w:t>（</w:t>
      </w:r>
      <w:r>
        <w:rPr>
          <w:rFonts w:hint="eastAsia" w:ascii="楷体_GB2312" w:eastAsia="楷体_GB2312"/>
          <w:color w:val="000000"/>
          <w:kern w:val="0"/>
          <w:szCs w:val="32"/>
        </w:rPr>
        <w:t>项目需建成满3年</w:t>
      </w:r>
      <w:r>
        <w:rPr>
          <w:rFonts w:hint="eastAsia"/>
          <w:color w:val="000000"/>
          <w:kern w:val="0"/>
          <w:szCs w:val="32"/>
        </w:rPr>
        <w:t>）</w:t>
      </w:r>
      <w:r>
        <w:rPr>
          <w:color w:val="000000"/>
          <w:kern w:val="0"/>
          <w:szCs w:val="32"/>
        </w:rPr>
        <w:t>，</w:t>
      </w:r>
      <w:r>
        <w:rPr>
          <w:rFonts w:hint="eastAsia"/>
          <w:color w:val="000000"/>
          <w:kern w:val="0"/>
          <w:szCs w:val="32"/>
        </w:rPr>
        <w:t>履行并网程序后，新能源项目</w:t>
      </w:r>
      <w:r>
        <w:rPr>
          <w:color w:val="000000"/>
          <w:kern w:val="0"/>
          <w:szCs w:val="32"/>
        </w:rPr>
        <w:t>按照市场化原则重新申报转为公用电站，上网电量</w:t>
      </w:r>
      <w:r>
        <w:rPr>
          <w:rFonts w:hint="eastAsia"/>
          <w:color w:val="000000"/>
          <w:kern w:val="0"/>
          <w:szCs w:val="32"/>
        </w:rPr>
        <w:t>不纳入新能源可持续发展价格结算机制</w:t>
      </w:r>
      <w:r>
        <w:rPr>
          <w:color w:val="000000"/>
          <w:kern w:val="0"/>
          <w:szCs w:val="32"/>
        </w:rPr>
        <w:t>。</w:t>
      </w:r>
      <w:bookmarkStart w:id="5" w:name="OLE_LINK1"/>
    </w:p>
    <w:bookmarkEnd w:id="5"/>
    <w:p>
      <w:pPr>
        <w:adjustRightInd w:val="0"/>
        <w:snapToGrid w:val="0"/>
        <w:spacing w:line="576" w:lineRule="exact"/>
        <w:ind w:firstLine="640" w:firstLineChars="200"/>
        <w:outlineLvl w:val="0"/>
        <w:rPr>
          <w:rFonts w:ascii="宋体" w:hAnsi="宋体" w:eastAsia="宋体" w:cs="宋体"/>
          <w:color w:val="000000"/>
          <w:kern w:val="0"/>
          <w:sz w:val="24"/>
        </w:rPr>
      </w:pPr>
      <w:r>
        <w:rPr>
          <w:rFonts w:hint="eastAsia" w:eastAsia="黑体"/>
          <w:color w:val="000000"/>
          <w:kern w:val="0"/>
          <w:szCs w:val="32"/>
        </w:rPr>
        <w:t>六</w:t>
      </w:r>
      <w:r>
        <w:rPr>
          <w:rFonts w:eastAsia="黑体"/>
          <w:color w:val="000000"/>
          <w:kern w:val="0"/>
          <w:szCs w:val="32"/>
        </w:rPr>
        <w:t>、保障措施</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（一）</w:t>
      </w:r>
      <w:r>
        <w:rPr>
          <w:rFonts w:hint="eastAsia" w:ascii="楷体_GB2312" w:eastAsia="楷体_GB2312"/>
          <w:b/>
          <w:bCs/>
          <w:color w:val="000000"/>
          <w:kern w:val="0"/>
          <w:szCs w:val="32"/>
        </w:rPr>
        <w:t>组织保障</w:t>
      </w:r>
    </w:p>
    <w:p>
      <w:pPr>
        <w:adjustRightInd w:val="0"/>
        <w:snapToGrid w:val="0"/>
        <w:spacing w:line="576" w:lineRule="exact"/>
        <w:ind w:firstLine="640" w:firstLineChars="200"/>
        <w:rPr>
          <w:color w:val="000000"/>
          <w:kern w:val="0"/>
          <w:szCs w:val="32"/>
        </w:rPr>
      </w:pPr>
      <w:r>
        <w:rPr>
          <w:color w:val="000000"/>
          <w:kern w:val="0"/>
          <w:szCs w:val="32"/>
        </w:rPr>
        <w:t>省能源局统筹推进全省绿电直连项目建设工作</w:t>
      </w:r>
      <w:r>
        <w:rPr>
          <w:rFonts w:hint="eastAsia"/>
          <w:color w:val="000000"/>
          <w:kern w:val="0"/>
          <w:szCs w:val="32"/>
        </w:rPr>
        <w:t>，推动绿电直连模式有序发展。</w:t>
      </w:r>
      <w:r>
        <w:rPr>
          <w:color w:val="000000"/>
          <w:kern w:val="0"/>
          <w:szCs w:val="32"/>
        </w:rPr>
        <w:t>市（州）能源主管部门要履行属地管理责任，</w:t>
      </w:r>
      <w:r>
        <w:rPr>
          <w:rFonts w:hint="eastAsia"/>
          <w:color w:val="000000"/>
          <w:kern w:val="0"/>
          <w:szCs w:val="32"/>
        </w:rPr>
        <w:t>有序</w:t>
      </w:r>
      <w:r>
        <w:rPr>
          <w:color w:val="000000"/>
          <w:kern w:val="0"/>
          <w:szCs w:val="32"/>
        </w:rPr>
        <w:t>组织</w:t>
      </w:r>
      <w:r>
        <w:rPr>
          <w:rFonts w:hint="eastAsia"/>
          <w:color w:val="000000"/>
          <w:kern w:val="0"/>
          <w:szCs w:val="32"/>
        </w:rPr>
        <w:t>具体</w:t>
      </w:r>
      <w:r>
        <w:rPr>
          <w:color w:val="000000"/>
          <w:kern w:val="0"/>
          <w:szCs w:val="32"/>
        </w:rPr>
        <w:t>项目实施，</w:t>
      </w:r>
      <w:r>
        <w:rPr>
          <w:rFonts w:hint="eastAsia"/>
          <w:color w:val="000000"/>
          <w:kern w:val="0"/>
          <w:szCs w:val="32"/>
        </w:rPr>
        <w:t>做好项目管理和运行监测工作</w:t>
      </w:r>
      <w:r>
        <w:rPr>
          <w:color w:val="000000"/>
          <w:kern w:val="0"/>
          <w:szCs w:val="32"/>
        </w:rPr>
        <w:t>。电网企业、电力市场运营机构要按照职责分工，全面落实有关规定，不断提升项目接入电网和参与市场交易的服务能力与技术保障水平。</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ascii="楷体_GB2312" w:eastAsia="楷体_GB2312"/>
          <w:b/>
          <w:bCs/>
          <w:color w:val="000000"/>
          <w:kern w:val="0"/>
          <w:szCs w:val="32"/>
        </w:rPr>
        <w:t>（二）跟踪评估</w:t>
      </w:r>
    </w:p>
    <w:p>
      <w:pPr>
        <w:adjustRightInd w:val="0"/>
        <w:snapToGrid w:val="0"/>
        <w:spacing w:line="576" w:lineRule="exact"/>
        <w:ind w:firstLine="640" w:firstLineChars="200"/>
        <w:rPr>
          <w:color w:val="000000"/>
          <w:kern w:val="0"/>
          <w:szCs w:val="32"/>
        </w:rPr>
      </w:pPr>
      <w:r>
        <w:rPr>
          <w:color w:val="000000"/>
          <w:kern w:val="0"/>
          <w:szCs w:val="32"/>
        </w:rPr>
        <w:t>省能源局统筹全省项目建设评估工作。市（州）能源主管部门定期调度项目建设进度，适时评估项目建设情况，会同当地电网企业对项目新能源年自发自用电量占总用电量的比例、上网电量占总可用发电量的比例等进行监测评估，及时向省能源局报送相关情况。</w:t>
      </w:r>
    </w:p>
    <w:p>
      <w:pPr>
        <w:adjustRightInd w:val="0"/>
        <w:snapToGrid w:val="0"/>
        <w:spacing w:line="576" w:lineRule="exact"/>
        <w:ind w:firstLine="642" w:firstLineChars="200"/>
        <w:outlineLvl w:val="1"/>
        <w:rPr>
          <w:rFonts w:ascii="楷体_GB2312" w:eastAsia="楷体_GB2312"/>
          <w:b/>
          <w:bCs/>
          <w:color w:val="000000"/>
          <w:kern w:val="0"/>
          <w:szCs w:val="32"/>
        </w:rPr>
      </w:pPr>
      <w:r>
        <w:rPr>
          <w:rFonts w:hint="eastAsia" w:ascii="楷体_GB2312" w:eastAsia="楷体_GB2312"/>
          <w:b/>
          <w:bCs/>
          <w:color w:val="000000"/>
          <w:kern w:val="0"/>
          <w:szCs w:val="32"/>
        </w:rPr>
        <w:t>（三）统筹衔接</w:t>
      </w:r>
    </w:p>
    <w:p>
      <w:pPr>
        <w:adjustRightInd w:val="0"/>
        <w:snapToGrid w:val="0"/>
        <w:spacing w:line="576" w:lineRule="exact"/>
        <w:ind w:firstLine="640" w:firstLineChars="200"/>
        <w:rPr>
          <w:color w:val="000000"/>
          <w:kern w:val="0"/>
          <w:szCs w:val="32"/>
        </w:rPr>
      </w:pPr>
      <w:r>
        <w:rPr>
          <w:rFonts w:hint="eastAsia"/>
          <w:color w:val="000000"/>
          <w:kern w:val="0"/>
          <w:szCs w:val="32"/>
        </w:rPr>
        <w:t>本方案自印发之日起实施，如遇国家政策调整，按照国家最新政策执行。单用户绿电直连项目适用范围、源荷匹配、上网比例、批复流程、推进实施同步按本方案执行。在本方案印发之日前已批复的单用户绿电直连项目，仍按原批复文件执行；如需调整，可按照本方案有关要求，重新履行申报手续。</w:t>
      </w:r>
      <w:r>
        <w:rPr>
          <w:color w:val="000000"/>
          <w:kern w:val="0"/>
          <w:szCs w:val="32"/>
        </w:rPr>
        <w:t>本方案未尽事宜，按照</w:t>
      </w:r>
      <w:r>
        <w:rPr>
          <w:rFonts w:hint="eastAsia"/>
          <w:color w:val="000000"/>
          <w:kern w:val="0"/>
          <w:szCs w:val="32"/>
        </w:rPr>
        <w:t>发改能源〔2026〕688号、发改价格〔</w:t>
      </w:r>
      <w:r>
        <w:rPr>
          <w:color w:val="000000"/>
          <w:kern w:val="0"/>
          <w:szCs w:val="32"/>
        </w:rPr>
        <w:t>2025〕1192号有关规定执行。</w:t>
      </w:r>
    </w:p>
    <w:p>
      <w:pPr>
        <w:adjustRightInd w:val="0"/>
        <w:snapToGrid w:val="0"/>
        <w:spacing w:line="576" w:lineRule="exact"/>
        <w:jc w:val="left"/>
        <w:outlineLvl w:val="0"/>
        <w:rPr>
          <w:b/>
          <w:bCs/>
          <w:color w:val="000000"/>
          <w:kern w:val="0"/>
          <w:sz w:val="28"/>
          <w:szCs w:val="28"/>
        </w:rPr>
      </w:pPr>
    </w:p>
    <w:sectPr>
      <w:footerReference r:id="rId3" w:type="default"/>
      <w:footerReference r:id="rId4" w:type="even"/>
      <w:pgSz w:w="11906" w:h="16838"/>
      <w:pgMar w:top="2098" w:right="1474" w:bottom="1985" w:left="1588" w:header="0" w:footer="1247"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posOffset>2783840</wp:posOffset>
              </wp:positionH>
              <wp:positionV relativeFrom="paragraph">
                <wp:posOffset>3175</wp:posOffset>
              </wp:positionV>
              <wp:extent cx="445135" cy="167005"/>
              <wp:effectExtent l="0" t="0" r="12065" b="5080"/>
              <wp:wrapNone/>
              <wp:docPr id="1" name="文本框 1"/>
              <wp:cNvGraphicFramePr/>
              <a:graphic xmlns:a="http://schemas.openxmlformats.org/drawingml/2006/main">
                <a:graphicData uri="http://schemas.microsoft.com/office/word/2010/wordprocessingShape">
                  <wps:wsp>
                    <wps:cNvSpPr txBox="1"/>
                    <wps:spPr>
                      <a:xfrm>
                        <a:off x="0" y="0"/>
                        <a:ext cx="445273" cy="166977"/>
                      </a:xfrm>
                      <a:prstGeom prst="rect">
                        <a:avLst/>
                      </a:prstGeom>
                      <a:noFill/>
                      <a:ln>
                        <a:noFill/>
                      </a:ln>
                    </wps:spPr>
                    <wps:txbx>
                      <w:txbxContent>
                        <w:p>
                          <w:pPr>
                            <w:snapToGrid w:val="0"/>
                            <w:rPr>
                              <w:rFonts w:eastAsia="宋体"/>
                              <w:sz w:val="24"/>
                              <w:szCs w:val="40"/>
                            </w:rPr>
                          </w:pPr>
                          <w:r>
                            <w:rPr>
                              <w:rFonts w:hint="eastAsia"/>
                              <w:sz w:val="24"/>
                              <w:szCs w:val="40"/>
                            </w:rPr>
                            <w:fldChar w:fldCharType="begin"/>
                          </w:r>
                          <w:r>
                            <w:rPr>
                              <w:rFonts w:hint="eastAsia"/>
                              <w:sz w:val="24"/>
                              <w:szCs w:val="40"/>
                            </w:rPr>
                            <w:instrText xml:space="preserve"> PAGE  \* MERGEFORMAT </w:instrText>
                          </w:r>
                          <w:r>
                            <w:rPr>
                              <w:rFonts w:hint="eastAsia"/>
                              <w:sz w:val="24"/>
                              <w:szCs w:val="40"/>
                            </w:rPr>
                            <w:fldChar w:fldCharType="separate"/>
                          </w:r>
                          <w:r>
                            <w:rPr>
                              <w:rFonts w:hint="eastAsia"/>
                              <w:sz w:val="24"/>
                              <w:szCs w:val="40"/>
                            </w:rPr>
                            <w:t>1</w:t>
                          </w:r>
                          <w:r>
                            <w:rPr>
                              <w:rFonts w:hint="eastAsia"/>
                              <w:sz w:val="24"/>
                              <w:szCs w:val="40"/>
                            </w:rPr>
                            <w:fldChar w:fldCharType="end"/>
                          </w:r>
                        </w:p>
                      </w:txbxContent>
                    </wps:txbx>
                    <wps:bodyPr wrap="square" lIns="0" tIns="0" rIns="0" bIns="0" upright="1">
                      <a:noAutofit/>
                    </wps:bodyPr>
                  </wps:wsp>
                </a:graphicData>
              </a:graphic>
            </wp:anchor>
          </w:drawing>
        </mc:Choice>
        <mc:Fallback>
          <w:pict>
            <v:shape id="_x0000_s1026" o:spid="_x0000_s1026" o:spt="202" type="#_x0000_t202" style="position:absolute;left:0pt;margin-left:219.2pt;margin-top:0.25pt;height:13.15pt;width:35.05pt;mso-position-horizontal-relative:margin;z-index:251659264;mso-width-relative:page;mso-height-relative:page;" filled="f" stroked="f" coordsize="21600,21600" o:gfxdata="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B6hmhDWAAAA&#10;BwEAAA8AAAAAAAAAAQAgAAAAOAAAAGRycy9kb3ducmV2LnhtbFBLAQIUABQAAAAIAIdO4kD+nezc&#10;0AEAAJkDAAAOAAAAAAAAAAEAIAAAADsBAABkcnMvZTJvRG9jLnhtbFBLBQYAAAAABgAGAFkBAAB9&#10;BQAAAAA=&#10;">
              <v:fill on="f" focussize="0,0"/>
              <v:stroke on="f"/>
              <v:imagedata o:title=""/>
              <o:lock v:ext="edit" aspectratio="f"/>
              <v:textbox inset="0mm,0mm,0mm,0mm">
                <w:txbxContent>
                  <w:p>
                    <w:pPr>
                      <w:snapToGrid w:val="0"/>
                      <w:rPr>
                        <w:rFonts w:eastAsia="宋体"/>
                        <w:sz w:val="24"/>
                        <w:szCs w:val="40"/>
                      </w:rPr>
                    </w:pPr>
                    <w:r>
                      <w:rPr>
                        <w:rFonts w:hint="eastAsia"/>
                        <w:sz w:val="24"/>
                        <w:szCs w:val="40"/>
                      </w:rPr>
                      <w:fldChar w:fldCharType="begin"/>
                    </w:r>
                    <w:r>
                      <w:rPr>
                        <w:rFonts w:hint="eastAsia"/>
                        <w:sz w:val="24"/>
                        <w:szCs w:val="40"/>
                      </w:rPr>
                      <w:instrText xml:space="preserve"> PAGE  \* MERGEFORMAT </w:instrText>
                    </w:r>
                    <w:r>
                      <w:rPr>
                        <w:rFonts w:hint="eastAsia"/>
                        <w:sz w:val="24"/>
                        <w:szCs w:val="40"/>
                      </w:rPr>
                      <w:fldChar w:fldCharType="separate"/>
                    </w:r>
                    <w:r>
                      <w:rPr>
                        <w:rFonts w:hint="eastAsia"/>
                        <w:sz w:val="24"/>
                        <w:szCs w:val="40"/>
                      </w:rPr>
                      <w:t>1</w:t>
                    </w:r>
                    <w:r>
                      <w:rPr>
                        <w:rFonts w:hint="eastAsia"/>
                        <w:sz w:val="24"/>
                        <w:szCs w:val="4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pPr>
    <w:r>
      <w:fldChar w:fldCharType="begin"/>
    </w:r>
    <w:r>
      <w:rPr>
        <w:rStyle w:val="13"/>
      </w:rPr>
      <w:instrText xml:space="preserve">Page</w:instrText>
    </w:r>
    <w:r>
      <w:fldChar w:fldCharType="separate"/>
    </w:r>
    <w:r>
      <w:rPr>
        <w:rStyle w:val="13"/>
      </w:rPr>
      <w:t>1</w:t>
    </w:r>
    <w:r>
      <w:fldChar w:fldCharType="end"/>
    </w:r>
  </w:p>
  <w:p>
    <w:pPr>
      <w:pStyle w:val="9"/>
      <w:framePr w:wrap="around" w:vAnchor="text" w:hAnchor="margin" w:xAlign="center" w:y="1"/>
    </w:pPr>
    <w:r>
      <w:fldChar w:fldCharType="begin"/>
    </w:r>
    <w:r>
      <w:rPr>
        <w:rStyle w:val="13"/>
      </w:rPr>
      <w:instrText xml:space="preserve">Page</w:instrText>
    </w:r>
    <w:r>
      <w:fldChar w:fldCharType="separate"/>
    </w:r>
    <w:r>
      <w:rPr>
        <w:rStyle w:val="13"/>
      </w:rPr>
      <w:t>1</w:t>
    </w:r>
    <w: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7"/>
  <w:drawingGridVerticalSpacing w:val="289"/>
  <w:displayHorizontalDrawingGridEvery w:val="2"/>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hMWQ3ZDU0ZmI4MTk5OWMzNDJiNmNmYzdhNzRiY2YifQ=="/>
  </w:docVars>
  <w:rsids>
    <w:rsidRoot w:val="00172A27"/>
    <w:rsid w:val="00006BB8"/>
    <w:rsid w:val="000346B6"/>
    <w:rsid w:val="0007043E"/>
    <w:rsid w:val="000A2A53"/>
    <w:rsid w:val="000D05AE"/>
    <w:rsid w:val="00145BD4"/>
    <w:rsid w:val="00150D24"/>
    <w:rsid w:val="00154FDF"/>
    <w:rsid w:val="00171889"/>
    <w:rsid w:val="00172A27"/>
    <w:rsid w:val="00182043"/>
    <w:rsid w:val="001C30B1"/>
    <w:rsid w:val="001D5B87"/>
    <w:rsid w:val="001E6617"/>
    <w:rsid w:val="001F39FD"/>
    <w:rsid w:val="002021BC"/>
    <w:rsid w:val="002064E6"/>
    <w:rsid w:val="00213108"/>
    <w:rsid w:val="00226258"/>
    <w:rsid w:val="002263A9"/>
    <w:rsid w:val="00241536"/>
    <w:rsid w:val="002A3DE7"/>
    <w:rsid w:val="002B61E6"/>
    <w:rsid w:val="002C2100"/>
    <w:rsid w:val="0036022B"/>
    <w:rsid w:val="00382B57"/>
    <w:rsid w:val="003A74D9"/>
    <w:rsid w:val="003B66D4"/>
    <w:rsid w:val="003C6091"/>
    <w:rsid w:val="00460ED8"/>
    <w:rsid w:val="004A4F0F"/>
    <w:rsid w:val="004D7E4B"/>
    <w:rsid w:val="00515151"/>
    <w:rsid w:val="005442C1"/>
    <w:rsid w:val="005A119A"/>
    <w:rsid w:val="005A16EF"/>
    <w:rsid w:val="005A3E14"/>
    <w:rsid w:val="005D4470"/>
    <w:rsid w:val="005D6CD5"/>
    <w:rsid w:val="005D6D38"/>
    <w:rsid w:val="005E11EB"/>
    <w:rsid w:val="00646548"/>
    <w:rsid w:val="00663B8B"/>
    <w:rsid w:val="00690A5B"/>
    <w:rsid w:val="00694B50"/>
    <w:rsid w:val="006B21C3"/>
    <w:rsid w:val="006B3D35"/>
    <w:rsid w:val="006C1F84"/>
    <w:rsid w:val="00751264"/>
    <w:rsid w:val="00777754"/>
    <w:rsid w:val="007930F3"/>
    <w:rsid w:val="007A3A42"/>
    <w:rsid w:val="00836857"/>
    <w:rsid w:val="008B5208"/>
    <w:rsid w:val="008C75A6"/>
    <w:rsid w:val="008F6F7D"/>
    <w:rsid w:val="009001A1"/>
    <w:rsid w:val="009078C4"/>
    <w:rsid w:val="00925185"/>
    <w:rsid w:val="009273CF"/>
    <w:rsid w:val="00933A8F"/>
    <w:rsid w:val="00955972"/>
    <w:rsid w:val="009615B6"/>
    <w:rsid w:val="009A7721"/>
    <w:rsid w:val="009D55EC"/>
    <w:rsid w:val="00A12561"/>
    <w:rsid w:val="00A47CDD"/>
    <w:rsid w:val="00A5516A"/>
    <w:rsid w:val="00A66ABA"/>
    <w:rsid w:val="00A713FB"/>
    <w:rsid w:val="00A91994"/>
    <w:rsid w:val="00AC78A0"/>
    <w:rsid w:val="00B12278"/>
    <w:rsid w:val="00B328F8"/>
    <w:rsid w:val="00B93AB0"/>
    <w:rsid w:val="00BF73F1"/>
    <w:rsid w:val="00C7790B"/>
    <w:rsid w:val="00C96AD4"/>
    <w:rsid w:val="00CB7A9A"/>
    <w:rsid w:val="00CF6B1E"/>
    <w:rsid w:val="00D44D21"/>
    <w:rsid w:val="00DA054D"/>
    <w:rsid w:val="00DB570D"/>
    <w:rsid w:val="00DF106A"/>
    <w:rsid w:val="00E124CE"/>
    <w:rsid w:val="00E21A89"/>
    <w:rsid w:val="00E355AD"/>
    <w:rsid w:val="00E4711C"/>
    <w:rsid w:val="00E501E7"/>
    <w:rsid w:val="00E63B55"/>
    <w:rsid w:val="00EA16CA"/>
    <w:rsid w:val="00EC75C1"/>
    <w:rsid w:val="00F12D04"/>
    <w:rsid w:val="00F37721"/>
    <w:rsid w:val="00F62980"/>
    <w:rsid w:val="00F633B5"/>
    <w:rsid w:val="00F65197"/>
    <w:rsid w:val="00F83662"/>
    <w:rsid w:val="00F928F1"/>
    <w:rsid w:val="00FB01CD"/>
    <w:rsid w:val="00FB23AA"/>
    <w:rsid w:val="00FD33B9"/>
    <w:rsid w:val="1E0E2524"/>
    <w:rsid w:val="1F0979D8"/>
    <w:rsid w:val="251A4FDA"/>
    <w:rsid w:val="2EDF64A8"/>
    <w:rsid w:val="3EF9435E"/>
    <w:rsid w:val="3F3D5FDC"/>
    <w:rsid w:val="3FCF2764"/>
    <w:rsid w:val="5AAE0E58"/>
    <w:rsid w:val="62CA1D5B"/>
    <w:rsid w:val="66F44096"/>
    <w:rsid w:val="687B28DF"/>
    <w:rsid w:val="702C664F"/>
    <w:rsid w:val="76256ABC"/>
    <w:rsid w:val="7B6A44CF"/>
    <w:rsid w:val="CEEEFE79"/>
    <w:rsid w:val="CF7360CB"/>
    <w:rsid w:val="FFDF4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eastAsia="黑体"/>
      <w:b/>
      <w:bCs/>
      <w:szCs w:val="32"/>
    </w:rPr>
  </w:style>
  <w:style w:type="paragraph" w:styleId="5">
    <w:name w:val="heading 3"/>
    <w:basedOn w:val="1"/>
    <w:next w:val="1"/>
    <w:qFormat/>
    <w:uiPriority w:val="0"/>
    <w:pPr>
      <w:keepNext/>
      <w:keepLines/>
      <w:spacing w:before="260" w:after="260" w:line="415" w:lineRule="auto"/>
      <w:outlineLvl w:val="2"/>
    </w:pPr>
    <w:rPr>
      <w:b/>
      <w:bCs/>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 w:type="paragraph" w:styleId="6">
    <w:name w:val="toa heading"/>
    <w:basedOn w:val="1"/>
    <w:next w:val="1"/>
    <w:qFormat/>
    <w:uiPriority w:val="0"/>
    <w:pPr>
      <w:spacing w:before="120"/>
    </w:pPr>
    <w:rPr>
      <w:rFonts w:ascii="Arial" w:hAnsi="Arial"/>
      <w:sz w:val="24"/>
      <w:szCs w:val="20"/>
    </w:rPr>
  </w:style>
  <w:style w:type="paragraph" w:styleId="7">
    <w:name w:val="index 6"/>
    <w:basedOn w:val="1"/>
    <w:next w:val="1"/>
    <w:qFormat/>
    <w:uiPriority w:val="0"/>
    <w:pPr>
      <w:ind w:left="1000" w:leftChars="1000"/>
    </w:pPr>
  </w:style>
  <w:style w:type="paragraph" w:styleId="8">
    <w:name w:val="Body Text"/>
    <w:basedOn w:val="1"/>
    <w:next w:val="7"/>
    <w:qFormat/>
    <w:uiPriority w:val="0"/>
    <w:pPr>
      <w:spacing w:after="12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7"/>
      </w:tabs>
      <w:snapToGrid w:val="0"/>
      <w:jc w:val="center"/>
    </w:pPr>
    <w:rPr>
      <w:sz w:val="18"/>
    </w:rPr>
  </w:style>
  <w:style w:type="character" w:styleId="13">
    <w:name w:val="page number"/>
    <w:qFormat/>
    <w:uiPriority w:val="0"/>
  </w:style>
  <w:style w:type="character" w:styleId="14">
    <w:name w:val="FollowedHyperlink"/>
    <w:qFormat/>
    <w:uiPriority w:val="0"/>
    <w:rPr>
      <w:color w:val="800080"/>
      <w:u w:val="single"/>
    </w:rPr>
  </w:style>
  <w:style w:type="character" w:styleId="15">
    <w:name w:val="Hyperlink"/>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JLSZF</Company>
  <Pages>12</Pages>
  <Words>937</Words>
  <Characters>5343</Characters>
  <Lines>44</Lines>
  <Paragraphs>12</Paragraphs>
  <TotalTime>0</TotalTime>
  <ScaleCrop>false</ScaleCrop>
  <LinksUpToDate>false</LinksUpToDate>
  <CharactersWithSpaces>6268</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2014-04-04T10:52:00Z</dcterms:created>
  <dc:creator>USER1</dc:creator>
  <cp:lastModifiedBy>uos</cp:lastModifiedBy>
  <cp:lastPrinted>2026-09-23T19:06:00Z</cp:lastPrinted>
  <dcterms:modified xsi:type="dcterms:W3CDTF">2026-10-08T09:11:02Z</dcterms:modified>
  <dc:title>关于</dc:title>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vt:lpwstr>2052-10.8.0.6206</vt:lpwstr>
  </property>
  <property fmtid="{D5CDD505-2E9C-101B-9397-08002B2CF9AE}" pid="3" name="KSOProductBuildVer">
    <vt:lpwstr>2052-12.8.2.1113</vt:lpwstr>
  </property>
  <property fmtid="{D5CDD505-2E9C-101B-9397-08002B2CF9AE}" pid="4" name="ICV">
    <vt:lpwstr>6AADAD63C2B4850C5640166A14CBCB65_43</vt:lpwstr>
  </property>
</Properties>
</file>